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0DCE6">
      <w:pPr>
        <w:pStyle w:val="64"/>
        <w:spacing w:line="600" w:lineRule="auto"/>
        <w:jc w:val="center"/>
        <w:rPr>
          <w:rStyle w:val="97"/>
          <w:rFonts w:hint="default" w:eastAsia="宋体"/>
          <w:color w:val="auto"/>
          <w:sz w:val="24"/>
          <w:szCs w:val="24"/>
          <w:highlight w:val="none"/>
          <w:lang w:val="en-US" w:eastAsia="zh-CN"/>
        </w:rPr>
      </w:pPr>
    </w:p>
    <w:p w14:paraId="45BD9EC8">
      <w:pPr>
        <w:keepNext w:val="0"/>
        <w:keepLines w:val="0"/>
        <w:pageBreakBefore w:val="0"/>
        <w:widowControl/>
        <w:kinsoku/>
        <w:wordWrap/>
        <w:overflowPunct/>
        <w:topLinePunct w:val="0"/>
        <w:autoSpaceDE/>
        <w:autoSpaceDN/>
        <w:bidi w:val="0"/>
        <w:adjustRightInd/>
        <w:snapToGrid/>
        <w:spacing w:after="0" w:line="600" w:lineRule="auto"/>
        <w:jc w:val="center"/>
        <w:textAlignment w:val="baseline"/>
        <w:rPr>
          <w:rStyle w:val="97"/>
          <w:rFonts w:hint="eastAsia" w:eastAsia="宋体"/>
          <w:b/>
          <w:color w:val="auto"/>
          <w:sz w:val="22"/>
          <w:szCs w:val="22"/>
          <w:highlight w:val="none"/>
          <w:lang w:eastAsia="zh-CN"/>
        </w:rPr>
      </w:pPr>
      <w:bookmarkStart w:id="0" w:name="OLE_LINK11"/>
      <w:r>
        <w:rPr>
          <w:rStyle w:val="97"/>
          <w:rFonts w:hint="eastAsia"/>
          <w:b/>
          <w:color w:val="auto"/>
          <w:sz w:val="32"/>
          <w:szCs w:val="32"/>
          <w:highlight w:val="none"/>
          <w:lang w:eastAsia="zh-CN"/>
        </w:rPr>
        <w:t>郑州市自然资源和规划局高新分局不动产登记和房地产交易中心档案整理项目</w:t>
      </w:r>
      <w:bookmarkEnd w:id="0"/>
    </w:p>
    <w:p w14:paraId="04215EEB">
      <w:pPr>
        <w:pStyle w:val="39"/>
        <w:spacing w:line="600" w:lineRule="auto"/>
        <w:ind w:left="0"/>
        <w:rPr>
          <w:rStyle w:val="97"/>
          <w:b/>
          <w:color w:val="auto"/>
          <w:sz w:val="24"/>
          <w:szCs w:val="24"/>
          <w:highlight w:val="none"/>
        </w:rPr>
      </w:pPr>
    </w:p>
    <w:p w14:paraId="3BE84244">
      <w:pPr>
        <w:spacing w:after="0" w:line="600" w:lineRule="auto"/>
        <w:jc w:val="center"/>
        <w:rPr>
          <w:rStyle w:val="97"/>
          <w:b/>
          <w:color w:val="auto"/>
          <w:sz w:val="32"/>
          <w:szCs w:val="32"/>
          <w:highlight w:val="none"/>
        </w:rPr>
      </w:pPr>
      <w:r>
        <w:rPr>
          <w:rStyle w:val="97"/>
          <w:rFonts w:hint="eastAsia"/>
          <w:b/>
          <w:color w:val="auto"/>
          <w:sz w:val="32"/>
          <w:szCs w:val="32"/>
          <w:highlight w:val="none"/>
        </w:rPr>
        <w:t>竞争性磋商文件</w:t>
      </w:r>
    </w:p>
    <w:p w14:paraId="20C8CEF7">
      <w:pPr>
        <w:spacing w:line="600" w:lineRule="auto"/>
        <w:jc w:val="center"/>
        <w:rPr>
          <w:rStyle w:val="97"/>
          <w:rFonts w:hint="eastAsia" w:eastAsia="宋体"/>
          <w:color w:val="auto"/>
          <w:sz w:val="32"/>
          <w:szCs w:val="32"/>
          <w:highlight w:val="none"/>
          <w:lang w:val="en-US" w:eastAsia="zh-CN"/>
        </w:rPr>
      </w:pPr>
      <w:r>
        <w:rPr>
          <w:rStyle w:val="97"/>
          <w:rFonts w:hint="eastAsia"/>
          <w:b/>
          <w:color w:val="auto"/>
          <w:sz w:val="32"/>
          <w:szCs w:val="32"/>
          <w:highlight w:val="none"/>
        </w:rPr>
        <w:t>采购编号：</w:t>
      </w:r>
      <w:r>
        <w:rPr>
          <w:rStyle w:val="97"/>
          <w:rFonts w:hint="eastAsia"/>
          <w:b/>
          <w:color w:val="auto"/>
          <w:sz w:val="32"/>
          <w:szCs w:val="32"/>
          <w:highlight w:val="none"/>
          <w:lang w:eastAsia="zh-CN"/>
        </w:rPr>
        <w:t>高新竞争性磋商采购[2024]24号</w:t>
      </w:r>
    </w:p>
    <w:p w14:paraId="4758C8A1">
      <w:pPr>
        <w:pStyle w:val="65"/>
        <w:spacing w:line="600" w:lineRule="auto"/>
        <w:ind w:firstLine="210"/>
        <w:jc w:val="center"/>
        <w:rPr>
          <w:rStyle w:val="97"/>
          <w:color w:val="auto"/>
          <w:sz w:val="24"/>
          <w:szCs w:val="24"/>
          <w:highlight w:val="none"/>
        </w:rPr>
      </w:pPr>
      <w:r>
        <w:rPr>
          <w:rFonts w:hint="eastAsia" w:ascii="宋体" w:hAnsi="宋体" w:eastAsia="宋体" w:cs="宋体"/>
          <w:b/>
          <w:color w:val="auto"/>
          <w:sz w:val="24"/>
          <w:szCs w:val="24"/>
          <w:lang w:eastAsia="zh-CN"/>
        </w:rPr>
        <w:drawing>
          <wp:inline distT="0" distB="0" distL="114300" distR="114300">
            <wp:extent cx="3615690" cy="1867535"/>
            <wp:effectExtent l="0" t="0" r="3810" b="12065"/>
            <wp:docPr id="1" name="图片 1" descr="7f13cc9773063a399de39cc7bcb8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13cc9773063a399de39cc7bcb86ab"/>
                    <pic:cNvPicPr>
                      <a:picLocks noChangeAspect="1"/>
                    </pic:cNvPicPr>
                  </pic:nvPicPr>
                  <pic:blipFill>
                    <a:blip r:embed="rId8"/>
                    <a:srcRect l="17010" t="11837" r="19227" b="17551"/>
                    <a:stretch>
                      <a:fillRect/>
                    </a:stretch>
                  </pic:blipFill>
                  <pic:spPr>
                    <a:xfrm>
                      <a:off x="0" y="0"/>
                      <a:ext cx="3615690" cy="1867535"/>
                    </a:xfrm>
                    <a:prstGeom prst="rect">
                      <a:avLst/>
                    </a:prstGeom>
                  </pic:spPr>
                </pic:pic>
              </a:graphicData>
            </a:graphic>
          </wp:inline>
        </w:drawing>
      </w:r>
    </w:p>
    <w:p w14:paraId="00742A38">
      <w:pPr>
        <w:pStyle w:val="65"/>
        <w:spacing w:line="600" w:lineRule="auto"/>
        <w:ind w:firstLine="210"/>
        <w:rPr>
          <w:rStyle w:val="97"/>
          <w:color w:val="auto"/>
          <w:sz w:val="24"/>
          <w:szCs w:val="24"/>
          <w:highlight w:val="none"/>
        </w:rPr>
      </w:pPr>
    </w:p>
    <w:p w14:paraId="51426C29">
      <w:pPr>
        <w:pStyle w:val="39"/>
        <w:spacing w:line="600" w:lineRule="auto"/>
        <w:rPr>
          <w:rStyle w:val="97"/>
          <w:b/>
          <w:bCs/>
          <w:color w:val="auto"/>
          <w:sz w:val="24"/>
          <w:szCs w:val="24"/>
          <w:highlight w:val="none"/>
        </w:rPr>
      </w:pPr>
    </w:p>
    <w:p w14:paraId="75897ABA">
      <w:pPr>
        <w:keepNext w:val="0"/>
        <w:keepLines w:val="0"/>
        <w:pageBreakBefore w:val="0"/>
        <w:widowControl/>
        <w:kinsoku/>
        <w:wordWrap/>
        <w:overflowPunct/>
        <w:topLinePunct w:val="0"/>
        <w:autoSpaceDE/>
        <w:autoSpaceDN/>
        <w:bidi w:val="0"/>
        <w:adjustRightInd/>
        <w:snapToGrid/>
        <w:spacing w:after="0" w:line="600" w:lineRule="auto"/>
        <w:ind w:left="0" w:leftChars="0" w:firstLine="1687" w:firstLineChars="525"/>
        <w:jc w:val="left"/>
        <w:textAlignment w:val="baseline"/>
        <w:rPr>
          <w:rStyle w:val="97"/>
          <w:rFonts w:hint="eastAsia" w:eastAsia="宋体" w:cs="宋体"/>
          <w:b/>
          <w:bCs/>
          <w:color w:val="auto"/>
          <w:sz w:val="32"/>
          <w:szCs w:val="32"/>
          <w:highlight w:val="none"/>
          <w:lang w:eastAsia="zh-CN"/>
        </w:rPr>
      </w:pPr>
      <w:r>
        <w:rPr>
          <w:rStyle w:val="97"/>
          <w:rFonts w:hint="eastAsia" w:cs="宋体"/>
          <w:b/>
          <w:bCs/>
          <w:color w:val="auto"/>
          <w:sz w:val="32"/>
          <w:szCs w:val="32"/>
          <w:highlight w:val="none"/>
        </w:rPr>
        <w:t>采</w:t>
      </w:r>
      <w:r>
        <w:rPr>
          <w:rStyle w:val="97"/>
          <w:rFonts w:hint="eastAsia" w:cs="宋体"/>
          <w:b/>
          <w:bCs/>
          <w:color w:val="auto"/>
          <w:sz w:val="32"/>
          <w:szCs w:val="32"/>
          <w:highlight w:val="none"/>
          <w:lang w:val="en-US" w:eastAsia="zh-CN"/>
        </w:rPr>
        <w:t xml:space="preserve"> </w:t>
      </w:r>
      <w:r>
        <w:rPr>
          <w:rStyle w:val="97"/>
          <w:rFonts w:hint="eastAsia" w:cs="宋体"/>
          <w:b/>
          <w:bCs/>
          <w:color w:val="auto"/>
          <w:sz w:val="32"/>
          <w:szCs w:val="32"/>
          <w:highlight w:val="none"/>
        </w:rPr>
        <w:t>购</w:t>
      </w:r>
      <w:r>
        <w:rPr>
          <w:rStyle w:val="97"/>
          <w:rFonts w:hint="eastAsia" w:cs="宋体"/>
          <w:b/>
          <w:bCs/>
          <w:color w:val="auto"/>
          <w:sz w:val="32"/>
          <w:szCs w:val="32"/>
          <w:highlight w:val="none"/>
          <w:lang w:val="en-US" w:eastAsia="zh-CN"/>
        </w:rPr>
        <w:t xml:space="preserve"> </w:t>
      </w:r>
      <w:r>
        <w:rPr>
          <w:rStyle w:val="97"/>
          <w:rFonts w:hint="eastAsia" w:cs="宋体"/>
          <w:b/>
          <w:bCs/>
          <w:color w:val="auto"/>
          <w:sz w:val="32"/>
          <w:szCs w:val="32"/>
          <w:highlight w:val="none"/>
        </w:rPr>
        <w:t>人：</w:t>
      </w:r>
      <w:r>
        <w:rPr>
          <w:rStyle w:val="97"/>
          <w:rFonts w:hint="eastAsia" w:cs="宋体"/>
          <w:b/>
          <w:bCs/>
          <w:color w:val="auto"/>
          <w:sz w:val="32"/>
          <w:szCs w:val="32"/>
          <w:highlight w:val="none"/>
          <w:lang w:eastAsia="zh-CN"/>
        </w:rPr>
        <w:t>郑州市自然资源和规划局高新分局</w:t>
      </w:r>
    </w:p>
    <w:p w14:paraId="20B9B6F0">
      <w:pPr>
        <w:keepNext w:val="0"/>
        <w:keepLines w:val="0"/>
        <w:pageBreakBefore w:val="0"/>
        <w:widowControl/>
        <w:kinsoku/>
        <w:wordWrap/>
        <w:overflowPunct/>
        <w:topLinePunct w:val="0"/>
        <w:autoSpaceDE/>
        <w:autoSpaceDN/>
        <w:bidi w:val="0"/>
        <w:adjustRightInd/>
        <w:snapToGrid/>
        <w:spacing w:after="0" w:line="600" w:lineRule="auto"/>
        <w:ind w:left="0" w:leftChars="0" w:firstLine="1687" w:firstLineChars="525"/>
        <w:jc w:val="left"/>
        <w:textAlignment w:val="baseline"/>
        <w:rPr>
          <w:rStyle w:val="97"/>
          <w:rFonts w:hint="eastAsia" w:eastAsia="宋体" w:cs="宋体"/>
          <w:b/>
          <w:bCs/>
          <w:color w:val="auto"/>
          <w:spacing w:val="40"/>
          <w:sz w:val="32"/>
          <w:szCs w:val="32"/>
          <w:highlight w:val="none"/>
          <w:lang w:eastAsia="zh-CN"/>
        </w:rPr>
      </w:pPr>
      <w:r>
        <w:rPr>
          <w:rStyle w:val="97"/>
          <w:rFonts w:hint="eastAsia" w:cs="宋体"/>
          <w:b/>
          <w:bCs/>
          <w:color w:val="auto"/>
          <w:sz w:val="32"/>
          <w:szCs w:val="32"/>
          <w:highlight w:val="none"/>
        </w:rPr>
        <w:t>代理机构：</w:t>
      </w:r>
      <w:r>
        <w:rPr>
          <w:rStyle w:val="97"/>
          <w:rFonts w:hint="eastAsia" w:cs="宋体"/>
          <w:b/>
          <w:bCs/>
          <w:color w:val="auto"/>
          <w:sz w:val="32"/>
          <w:szCs w:val="32"/>
          <w:highlight w:val="none"/>
          <w:lang w:eastAsia="zh-CN"/>
        </w:rPr>
        <w:t>河南标晟项目管理有限公司</w:t>
      </w:r>
    </w:p>
    <w:p w14:paraId="0777B59D">
      <w:pPr>
        <w:keepNext w:val="0"/>
        <w:keepLines w:val="0"/>
        <w:pageBreakBefore w:val="0"/>
        <w:widowControl/>
        <w:kinsoku/>
        <w:wordWrap/>
        <w:overflowPunct/>
        <w:topLinePunct w:val="0"/>
        <w:autoSpaceDE/>
        <w:autoSpaceDN/>
        <w:bidi w:val="0"/>
        <w:adjustRightInd/>
        <w:snapToGrid/>
        <w:spacing w:after="0" w:line="600" w:lineRule="auto"/>
        <w:ind w:left="0" w:leftChars="0" w:firstLine="1687" w:firstLineChars="525"/>
        <w:jc w:val="left"/>
        <w:textAlignment w:val="baseline"/>
        <w:rPr>
          <w:rStyle w:val="97"/>
          <w:rFonts w:hint="eastAsia" w:cs="宋体"/>
          <w:b/>
          <w:bCs/>
          <w:color w:val="auto"/>
          <w:sz w:val="32"/>
          <w:szCs w:val="32"/>
          <w:highlight w:val="none"/>
        </w:rPr>
      </w:pPr>
      <w:r>
        <w:rPr>
          <w:rStyle w:val="97"/>
          <w:rFonts w:hint="eastAsia" w:cs="宋体"/>
          <w:b/>
          <w:bCs/>
          <w:color w:val="auto"/>
          <w:sz w:val="32"/>
          <w:szCs w:val="32"/>
          <w:highlight w:val="none"/>
        </w:rPr>
        <w:t>日</w:t>
      </w:r>
      <w:r>
        <w:rPr>
          <w:rStyle w:val="97"/>
          <w:rFonts w:hint="eastAsia" w:cs="宋体"/>
          <w:b/>
          <w:bCs/>
          <w:color w:val="auto"/>
          <w:sz w:val="32"/>
          <w:szCs w:val="32"/>
          <w:highlight w:val="none"/>
          <w:lang w:val="en-US" w:eastAsia="zh-CN"/>
        </w:rPr>
        <w:t xml:space="preserve">    </w:t>
      </w:r>
      <w:r>
        <w:rPr>
          <w:rStyle w:val="97"/>
          <w:rFonts w:hint="eastAsia" w:cs="宋体"/>
          <w:b/>
          <w:bCs/>
          <w:color w:val="auto"/>
          <w:sz w:val="32"/>
          <w:szCs w:val="32"/>
          <w:highlight w:val="none"/>
        </w:rPr>
        <w:t>期：二〇二</w:t>
      </w:r>
      <w:r>
        <w:rPr>
          <w:rStyle w:val="97"/>
          <w:rFonts w:hint="eastAsia" w:cs="宋体"/>
          <w:b/>
          <w:bCs/>
          <w:color w:val="auto"/>
          <w:sz w:val="32"/>
          <w:szCs w:val="32"/>
          <w:highlight w:val="none"/>
          <w:lang w:val="en-US" w:eastAsia="zh-CN"/>
        </w:rPr>
        <w:t>四</w:t>
      </w:r>
      <w:r>
        <w:rPr>
          <w:rStyle w:val="97"/>
          <w:rFonts w:hint="eastAsia" w:cs="宋体"/>
          <w:b/>
          <w:bCs/>
          <w:color w:val="auto"/>
          <w:sz w:val="32"/>
          <w:szCs w:val="32"/>
          <w:highlight w:val="none"/>
        </w:rPr>
        <w:t>年</w:t>
      </w:r>
      <w:r>
        <w:rPr>
          <w:rStyle w:val="97"/>
          <w:rFonts w:hint="eastAsia" w:cs="宋体"/>
          <w:b/>
          <w:bCs/>
          <w:color w:val="auto"/>
          <w:sz w:val="32"/>
          <w:szCs w:val="32"/>
          <w:highlight w:val="none"/>
          <w:lang w:val="en-US" w:eastAsia="zh-CN"/>
        </w:rPr>
        <w:t>九</w:t>
      </w:r>
      <w:r>
        <w:rPr>
          <w:rStyle w:val="97"/>
          <w:rFonts w:hint="eastAsia" w:cs="宋体"/>
          <w:b/>
          <w:bCs/>
          <w:color w:val="auto"/>
          <w:sz w:val="32"/>
          <w:szCs w:val="32"/>
          <w:highlight w:val="none"/>
        </w:rPr>
        <w:t>月</w:t>
      </w:r>
    </w:p>
    <w:p w14:paraId="169394ED">
      <w:pPr>
        <w:rPr>
          <w:rStyle w:val="97"/>
          <w:rFonts w:hint="eastAsia" w:cs="宋体"/>
          <w:b/>
          <w:bCs/>
          <w:color w:val="auto"/>
          <w:sz w:val="24"/>
          <w:szCs w:val="24"/>
          <w:highlight w:val="none"/>
        </w:rPr>
      </w:pPr>
      <w:r>
        <w:rPr>
          <w:rStyle w:val="97"/>
          <w:rFonts w:hint="eastAsia" w:cs="宋体"/>
          <w:b/>
          <w:bCs/>
          <w:color w:val="auto"/>
          <w:sz w:val="24"/>
          <w:szCs w:val="24"/>
          <w:highlight w:val="none"/>
        </w:rPr>
        <w:br w:type="page"/>
      </w:r>
    </w:p>
    <w:p w14:paraId="3812899A">
      <w:pPr>
        <w:spacing w:line="360" w:lineRule="auto"/>
        <w:jc w:val="center"/>
        <w:rPr>
          <w:rStyle w:val="97"/>
          <w:rFonts w:cs="宋体"/>
          <w:b/>
          <w:bCs/>
          <w:color w:val="auto"/>
          <w:sz w:val="24"/>
          <w:szCs w:val="24"/>
          <w:highlight w:val="none"/>
        </w:rPr>
      </w:pPr>
      <w:r>
        <w:rPr>
          <w:rStyle w:val="97"/>
          <w:rFonts w:hint="eastAsia" w:cs="宋体"/>
          <w:b/>
          <w:bCs/>
          <w:color w:val="auto"/>
          <w:sz w:val="24"/>
          <w:szCs w:val="24"/>
          <w:highlight w:val="none"/>
        </w:rPr>
        <w:t>目录</w:t>
      </w:r>
    </w:p>
    <w:p w14:paraId="1F399B42">
      <w:pPr>
        <w:pStyle w:val="19"/>
        <w:tabs>
          <w:tab w:val="right" w:leader="dot" w:pos="9077"/>
        </w:tabs>
      </w:pPr>
      <w:r>
        <w:rPr>
          <w:color w:val="auto"/>
          <w:sz w:val="24"/>
          <w:szCs w:val="24"/>
          <w:highlight w:val="none"/>
        </w:rPr>
        <w:fldChar w:fldCharType="begin"/>
      </w:r>
      <w:r>
        <w:rPr>
          <w:rStyle w:val="97"/>
          <w:color w:val="auto"/>
          <w:sz w:val="24"/>
          <w:szCs w:val="24"/>
          <w:highlight w:val="none"/>
        </w:rPr>
        <w:instrText xml:space="preserve">TOC \o "1-2" \h \u </w:instrText>
      </w:r>
      <w:r>
        <w:rPr>
          <w:color w:val="auto"/>
          <w:sz w:val="24"/>
          <w:szCs w:val="24"/>
          <w:highlight w:val="none"/>
        </w:rPr>
        <w:fldChar w:fldCharType="separate"/>
      </w:r>
      <w:r>
        <w:rPr>
          <w:color w:val="auto"/>
          <w:szCs w:val="24"/>
          <w:highlight w:val="none"/>
        </w:rPr>
        <w:fldChar w:fldCharType="begin"/>
      </w:r>
      <w:r>
        <w:rPr>
          <w:szCs w:val="24"/>
          <w:highlight w:val="none"/>
        </w:rPr>
        <w:instrText xml:space="preserve"> HYPERLINK \l _Toc30660 </w:instrText>
      </w:r>
      <w:r>
        <w:rPr>
          <w:szCs w:val="24"/>
          <w:highlight w:val="none"/>
        </w:rPr>
        <w:fldChar w:fldCharType="separate"/>
      </w:r>
      <w:r>
        <w:rPr>
          <w:rFonts w:cs="Times New Roman"/>
          <w:bCs/>
          <w:szCs w:val="24"/>
        </w:rPr>
        <w:t xml:space="preserve">第一章 </w:t>
      </w:r>
      <w:r>
        <w:rPr>
          <w:rFonts w:hint="eastAsia"/>
          <w:bCs/>
          <w:szCs w:val="24"/>
          <w:highlight w:val="none"/>
        </w:rPr>
        <w:t>竞争性磋商</w:t>
      </w:r>
      <w:r>
        <w:rPr>
          <w:rFonts w:hint="eastAsia"/>
          <w:bCs/>
          <w:szCs w:val="24"/>
          <w:highlight w:val="none"/>
          <w:lang w:val="en-US" w:eastAsia="zh-CN"/>
        </w:rPr>
        <w:t>公告</w:t>
      </w:r>
      <w:r>
        <w:tab/>
      </w:r>
      <w:r>
        <w:fldChar w:fldCharType="begin"/>
      </w:r>
      <w:r>
        <w:instrText xml:space="preserve"> PAGEREF _Toc30660 \h </w:instrText>
      </w:r>
      <w:r>
        <w:fldChar w:fldCharType="separate"/>
      </w:r>
      <w:r>
        <w:t>3</w:t>
      </w:r>
      <w:r>
        <w:fldChar w:fldCharType="end"/>
      </w:r>
      <w:r>
        <w:rPr>
          <w:color w:val="auto"/>
          <w:szCs w:val="24"/>
          <w:highlight w:val="none"/>
        </w:rPr>
        <w:fldChar w:fldCharType="end"/>
      </w:r>
    </w:p>
    <w:p w14:paraId="7685DD2B">
      <w:pPr>
        <w:pStyle w:val="19"/>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_Toc11110 </w:instrText>
      </w:r>
      <w:r>
        <w:rPr>
          <w:rFonts w:ascii="宋体"/>
          <w:szCs w:val="24"/>
          <w:highlight w:val="none"/>
          <w:lang w:eastAsia="zh-CN"/>
        </w:rPr>
        <w:fldChar w:fldCharType="separate"/>
      </w:r>
      <w:r>
        <w:rPr>
          <w:rFonts w:hint="eastAsia"/>
          <w:szCs w:val="24"/>
          <w:highlight w:val="none"/>
        </w:rPr>
        <w:t>第二章</w:t>
      </w:r>
      <w:r>
        <w:rPr>
          <w:rFonts w:hint="eastAsia"/>
          <w:szCs w:val="24"/>
          <w:highlight w:val="none"/>
          <w:lang w:val="en-US" w:eastAsia="zh-CN"/>
        </w:rPr>
        <w:t xml:space="preserve"> </w:t>
      </w:r>
      <w:r>
        <w:rPr>
          <w:rFonts w:hint="eastAsia"/>
          <w:szCs w:val="24"/>
          <w:highlight w:val="none"/>
        </w:rPr>
        <w:t>响应商须知</w:t>
      </w:r>
      <w:r>
        <w:tab/>
      </w:r>
      <w:r>
        <w:fldChar w:fldCharType="begin"/>
      </w:r>
      <w:r>
        <w:instrText xml:space="preserve"> PAGEREF _Toc11110 \h </w:instrText>
      </w:r>
      <w:r>
        <w:fldChar w:fldCharType="separate"/>
      </w:r>
      <w:r>
        <w:t>7</w:t>
      </w:r>
      <w:r>
        <w:fldChar w:fldCharType="end"/>
      </w:r>
      <w:r>
        <w:rPr>
          <w:rFonts w:ascii="宋体"/>
          <w:color w:val="auto"/>
          <w:szCs w:val="24"/>
          <w:highlight w:val="none"/>
          <w:lang w:eastAsia="zh-CN"/>
        </w:rPr>
        <w:fldChar w:fldCharType="end"/>
      </w:r>
    </w:p>
    <w:p w14:paraId="21FF47CF">
      <w:pPr>
        <w:pStyle w:val="19"/>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_Toc26722 </w:instrText>
      </w:r>
      <w:r>
        <w:rPr>
          <w:rFonts w:ascii="宋体"/>
          <w:szCs w:val="24"/>
          <w:highlight w:val="none"/>
          <w:lang w:eastAsia="zh-CN"/>
        </w:rPr>
        <w:fldChar w:fldCharType="separate"/>
      </w:r>
      <w:r>
        <w:rPr>
          <w:rFonts w:hint="eastAsia"/>
          <w:bCs/>
          <w:szCs w:val="24"/>
          <w:highlight w:val="none"/>
          <w:lang w:val="en-US" w:eastAsia="zh-CN"/>
        </w:rPr>
        <w:t xml:space="preserve">第三章 </w:t>
      </w:r>
      <w:r>
        <w:rPr>
          <w:rFonts w:hint="eastAsia"/>
          <w:bCs/>
          <w:szCs w:val="24"/>
          <w:highlight w:val="none"/>
        </w:rPr>
        <w:t>项目采购需求</w:t>
      </w:r>
      <w:r>
        <w:tab/>
      </w:r>
      <w:r>
        <w:fldChar w:fldCharType="begin"/>
      </w:r>
      <w:r>
        <w:instrText xml:space="preserve"> PAGEREF _Toc26722 \h </w:instrText>
      </w:r>
      <w:r>
        <w:fldChar w:fldCharType="separate"/>
      </w:r>
      <w:r>
        <w:t>21</w:t>
      </w:r>
      <w:r>
        <w:fldChar w:fldCharType="end"/>
      </w:r>
      <w:r>
        <w:rPr>
          <w:rFonts w:ascii="宋体"/>
          <w:color w:val="auto"/>
          <w:szCs w:val="24"/>
          <w:highlight w:val="none"/>
          <w:lang w:eastAsia="zh-CN"/>
        </w:rPr>
        <w:fldChar w:fldCharType="end"/>
      </w:r>
    </w:p>
    <w:p w14:paraId="736E2F00">
      <w:pPr>
        <w:pStyle w:val="19"/>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_Toc1397 </w:instrText>
      </w:r>
      <w:r>
        <w:rPr>
          <w:rFonts w:ascii="宋体"/>
          <w:szCs w:val="24"/>
          <w:highlight w:val="none"/>
          <w:lang w:eastAsia="zh-CN"/>
        </w:rPr>
        <w:fldChar w:fldCharType="separate"/>
      </w:r>
      <w:r>
        <w:rPr>
          <w:rFonts w:hint="eastAsia"/>
          <w:bCs w:val="0"/>
          <w:szCs w:val="24"/>
          <w:highlight w:val="none"/>
        </w:rPr>
        <w:t xml:space="preserve">第四章 </w:t>
      </w:r>
      <w:r>
        <w:rPr>
          <w:rFonts w:ascii="Times New Roman" w:hAnsi="Times New Roman" w:eastAsia="宋体"/>
          <w:bCs w:val="0"/>
          <w:szCs w:val="24"/>
          <w:highlight w:val="none"/>
          <w:lang w:eastAsia="zh-CN"/>
        </w:rPr>
        <w:t>磋商方法</w:t>
      </w:r>
      <w:r>
        <w:rPr>
          <w:rFonts w:ascii="Times New Roman" w:hAnsi="Times New Roman" w:eastAsia="宋体"/>
          <w:bCs w:val="0"/>
          <w:szCs w:val="24"/>
          <w:highlight w:val="none"/>
        </w:rPr>
        <w:t>和标准</w:t>
      </w:r>
      <w:r>
        <w:tab/>
      </w:r>
      <w:r>
        <w:fldChar w:fldCharType="begin"/>
      </w:r>
      <w:r>
        <w:instrText xml:space="preserve"> PAGEREF _Toc1397 \h </w:instrText>
      </w:r>
      <w:r>
        <w:fldChar w:fldCharType="separate"/>
      </w:r>
      <w:r>
        <w:t>31</w:t>
      </w:r>
      <w:r>
        <w:fldChar w:fldCharType="end"/>
      </w:r>
      <w:r>
        <w:rPr>
          <w:rFonts w:ascii="宋体"/>
          <w:color w:val="auto"/>
          <w:szCs w:val="24"/>
          <w:highlight w:val="none"/>
          <w:lang w:eastAsia="zh-CN"/>
        </w:rPr>
        <w:fldChar w:fldCharType="end"/>
      </w:r>
    </w:p>
    <w:p w14:paraId="3DBF5ED1">
      <w:pPr>
        <w:pStyle w:val="19"/>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_Toc24345 </w:instrText>
      </w:r>
      <w:r>
        <w:rPr>
          <w:rFonts w:ascii="宋体"/>
          <w:szCs w:val="24"/>
          <w:highlight w:val="none"/>
          <w:lang w:eastAsia="zh-CN"/>
        </w:rPr>
        <w:fldChar w:fldCharType="separate"/>
      </w:r>
      <w:r>
        <w:rPr>
          <w:rFonts w:hint="eastAsia"/>
          <w:szCs w:val="24"/>
          <w:highlight w:val="none"/>
        </w:rPr>
        <w:t>第五章</w:t>
      </w:r>
      <w:r>
        <w:rPr>
          <w:rFonts w:hint="eastAsia"/>
          <w:szCs w:val="24"/>
          <w:highlight w:val="none"/>
          <w:lang w:val="en-US" w:eastAsia="zh-CN"/>
        </w:rPr>
        <w:t xml:space="preserve"> </w:t>
      </w:r>
      <w:r>
        <w:rPr>
          <w:rFonts w:hint="eastAsia"/>
          <w:szCs w:val="24"/>
          <w:highlight w:val="none"/>
        </w:rPr>
        <w:t>合同（参考格式）</w:t>
      </w:r>
      <w:r>
        <w:tab/>
      </w:r>
      <w:r>
        <w:fldChar w:fldCharType="begin"/>
      </w:r>
      <w:r>
        <w:instrText xml:space="preserve"> PAGEREF _Toc24345 \h </w:instrText>
      </w:r>
      <w:r>
        <w:fldChar w:fldCharType="separate"/>
      </w:r>
      <w:r>
        <w:t>36</w:t>
      </w:r>
      <w:r>
        <w:fldChar w:fldCharType="end"/>
      </w:r>
      <w:r>
        <w:rPr>
          <w:rFonts w:ascii="宋体"/>
          <w:color w:val="auto"/>
          <w:szCs w:val="24"/>
          <w:highlight w:val="none"/>
          <w:lang w:eastAsia="zh-CN"/>
        </w:rPr>
        <w:fldChar w:fldCharType="end"/>
      </w:r>
    </w:p>
    <w:p w14:paraId="6C40EA88">
      <w:pPr>
        <w:pStyle w:val="19"/>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_Toc30917 </w:instrText>
      </w:r>
      <w:r>
        <w:rPr>
          <w:rFonts w:ascii="宋体"/>
          <w:szCs w:val="24"/>
          <w:highlight w:val="none"/>
          <w:lang w:eastAsia="zh-CN"/>
        </w:rPr>
        <w:fldChar w:fldCharType="separate"/>
      </w:r>
      <w:r>
        <w:rPr>
          <w:rFonts w:hint="eastAsia"/>
          <w:szCs w:val="24"/>
          <w:highlight w:val="none"/>
        </w:rPr>
        <w:t>第六章 响应文件格式</w:t>
      </w:r>
      <w:r>
        <w:tab/>
      </w:r>
      <w:r>
        <w:fldChar w:fldCharType="begin"/>
      </w:r>
      <w:r>
        <w:instrText xml:space="preserve"> PAGEREF _Toc30917 \h </w:instrText>
      </w:r>
      <w:r>
        <w:fldChar w:fldCharType="separate"/>
      </w:r>
      <w:r>
        <w:t>51</w:t>
      </w:r>
      <w:r>
        <w:fldChar w:fldCharType="end"/>
      </w:r>
      <w:r>
        <w:rPr>
          <w:rFonts w:ascii="宋体"/>
          <w:color w:val="auto"/>
          <w:szCs w:val="24"/>
          <w:highlight w:val="none"/>
          <w:lang w:eastAsia="zh-CN"/>
        </w:rPr>
        <w:fldChar w:fldCharType="end"/>
      </w:r>
    </w:p>
    <w:p w14:paraId="0F0B458A">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_Toc19554 </w:instrText>
      </w:r>
      <w:r>
        <w:rPr>
          <w:rFonts w:ascii="宋体"/>
          <w:szCs w:val="24"/>
          <w:highlight w:val="none"/>
          <w:lang w:eastAsia="zh-CN"/>
        </w:rPr>
        <w:fldChar w:fldCharType="separate"/>
      </w:r>
      <w:r>
        <w:rPr>
          <w:rFonts w:hint="eastAsia"/>
          <w:kern w:val="0"/>
          <w:szCs w:val="24"/>
          <w:highlight w:val="none"/>
          <w:lang w:val="en-US" w:eastAsia="zh-CN"/>
        </w:rPr>
        <w:t>一</w:t>
      </w:r>
      <w:r>
        <w:rPr>
          <w:rFonts w:hint="eastAsia"/>
          <w:kern w:val="0"/>
          <w:szCs w:val="24"/>
          <w:highlight w:val="none"/>
        </w:rPr>
        <w:t>、</w:t>
      </w:r>
      <w:r>
        <w:rPr>
          <w:rFonts w:hint="eastAsia"/>
          <w:kern w:val="0"/>
          <w:szCs w:val="24"/>
          <w:highlight w:val="none"/>
          <w:lang w:val="en-US" w:eastAsia="zh-CN"/>
        </w:rPr>
        <w:t>磋商函</w:t>
      </w:r>
      <w:r>
        <w:tab/>
      </w:r>
      <w:r>
        <w:fldChar w:fldCharType="begin"/>
      </w:r>
      <w:r>
        <w:instrText xml:space="preserve"> PAGEREF _Toc19554 \h </w:instrText>
      </w:r>
      <w:r>
        <w:fldChar w:fldCharType="separate"/>
      </w:r>
      <w:r>
        <w:t>53</w:t>
      </w:r>
      <w:r>
        <w:fldChar w:fldCharType="end"/>
      </w:r>
      <w:r>
        <w:rPr>
          <w:rFonts w:ascii="宋体"/>
          <w:color w:val="auto"/>
          <w:szCs w:val="24"/>
          <w:highlight w:val="none"/>
          <w:lang w:eastAsia="zh-CN"/>
        </w:rPr>
        <w:fldChar w:fldCharType="end"/>
      </w:r>
    </w:p>
    <w:p w14:paraId="6A0B2339">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_Toc29273 </w:instrText>
      </w:r>
      <w:r>
        <w:rPr>
          <w:rFonts w:ascii="宋体"/>
          <w:szCs w:val="24"/>
          <w:highlight w:val="none"/>
          <w:lang w:eastAsia="zh-CN"/>
        </w:rPr>
        <w:fldChar w:fldCharType="separate"/>
      </w:r>
      <w:r>
        <w:rPr>
          <w:rFonts w:hint="eastAsia"/>
          <w:kern w:val="0"/>
          <w:szCs w:val="24"/>
          <w:highlight w:val="none"/>
          <w:lang w:val="en-US" w:eastAsia="zh-CN"/>
        </w:rPr>
        <w:t>二</w:t>
      </w:r>
      <w:r>
        <w:rPr>
          <w:rFonts w:hint="eastAsia"/>
          <w:kern w:val="0"/>
          <w:szCs w:val="24"/>
          <w:highlight w:val="none"/>
        </w:rPr>
        <w:t>、</w:t>
      </w:r>
      <w:r>
        <w:rPr>
          <w:rFonts w:hint="eastAsia"/>
          <w:kern w:val="0"/>
          <w:szCs w:val="24"/>
          <w:highlight w:val="none"/>
          <w:lang w:val="en-US" w:eastAsia="zh-CN"/>
        </w:rPr>
        <w:t>磋商函附录</w:t>
      </w:r>
      <w:r>
        <w:tab/>
      </w:r>
      <w:r>
        <w:fldChar w:fldCharType="begin"/>
      </w:r>
      <w:r>
        <w:instrText xml:space="preserve"> PAGEREF _Toc29273 \h </w:instrText>
      </w:r>
      <w:r>
        <w:fldChar w:fldCharType="separate"/>
      </w:r>
      <w:r>
        <w:t>54</w:t>
      </w:r>
      <w:r>
        <w:fldChar w:fldCharType="end"/>
      </w:r>
      <w:r>
        <w:rPr>
          <w:rFonts w:ascii="宋体"/>
          <w:color w:val="auto"/>
          <w:szCs w:val="24"/>
          <w:highlight w:val="none"/>
          <w:lang w:eastAsia="zh-CN"/>
        </w:rPr>
        <w:fldChar w:fldCharType="end"/>
      </w:r>
    </w:p>
    <w:p w14:paraId="31D056B9">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_Toc22014 </w:instrText>
      </w:r>
      <w:r>
        <w:rPr>
          <w:rFonts w:ascii="宋体"/>
          <w:szCs w:val="24"/>
          <w:highlight w:val="none"/>
          <w:lang w:eastAsia="zh-CN"/>
        </w:rPr>
        <w:fldChar w:fldCharType="separate"/>
      </w:r>
      <w:r>
        <w:rPr>
          <w:rFonts w:hint="eastAsia" w:cs="宋体"/>
          <w:bCs/>
          <w:kern w:val="2"/>
          <w:szCs w:val="24"/>
          <w:lang w:val="en-US" w:eastAsia="zh-CN" w:bidi="ar-SA"/>
        </w:rPr>
        <w:t>三、</w:t>
      </w:r>
      <w:r>
        <w:rPr>
          <w:rFonts w:hint="eastAsia" w:ascii="宋体" w:hAnsi="宋体" w:eastAsia="宋体" w:cs="宋体"/>
          <w:bCs/>
          <w:kern w:val="2"/>
          <w:szCs w:val="24"/>
          <w:lang w:val="zh-CN" w:eastAsia="zh-CN" w:bidi="ar-SA"/>
        </w:rPr>
        <w:t>法定代表人身份证明</w:t>
      </w:r>
      <w:r>
        <w:tab/>
      </w:r>
      <w:r>
        <w:fldChar w:fldCharType="begin"/>
      </w:r>
      <w:r>
        <w:instrText xml:space="preserve"> PAGEREF _Toc22014 \h </w:instrText>
      </w:r>
      <w:r>
        <w:fldChar w:fldCharType="separate"/>
      </w:r>
      <w:r>
        <w:t>55</w:t>
      </w:r>
      <w:r>
        <w:fldChar w:fldCharType="end"/>
      </w:r>
      <w:r>
        <w:rPr>
          <w:rFonts w:ascii="宋体"/>
          <w:color w:val="auto"/>
          <w:szCs w:val="24"/>
          <w:highlight w:val="none"/>
          <w:lang w:eastAsia="zh-CN"/>
        </w:rPr>
        <w:fldChar w:fldCharType="end"/>
      </w:r>
    </w:p>
    <w:p w14:paraId="3194B0E1">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_Toc17061 </w:instrText>
      </w:r>
      <w:r>
        <w:rPr>
          <w:rFonts w:ascii="宋体"/>
          <w:szCs w:val="24"/>
          <w:highlight w:val="none"/>
          <w:lang w:eastAsia="zh-CN"/>
        </w:rPr>
        <w:fldChar w:fldCharType="separate"/>
      </w:r>
      <w:r>
        <w:rPr>
          <w:rFonts w:hint="eastAsia" w:asciiTheme="minorEastAsia" w:hAnsiTheme="minorEastAsia" w:eastAsiaTheme="minorEastAsia" w:cstheme="minorEastAsia"/>
          <w:bCs/>
          <w:spacing w:val="0"/>
          <w:w w:val="100"/>
          <w:position w:val="0"/>
          <w:szCs w:val="24"/>
          <w:lang w:val="en-US" w:eastAsia="zh-CN"/>
        </w:rPr>
        <w:t>四</w:t>
      </w:r>
      <w:r>
        <w:rPr>
          <w:rFonts w:hint="eastAsia" w:asciiTheme="minorEastAsia" w:hAnsiTheme="minorEastAsia" w:eastAsiaTheme="minorEastAsia" w:cstheme="minorEastAsia"/>
          <w:bCs/>
          <w:spacing w:val="0"/>
          <w:w w:val="100"/>
          <w:position w:val="0"/>
          <w:szCs w:val="24"/>
        </w:rPr>
        <w:t>、授权委托书</w:t>
      </w:r>
      <w:r>
        <w:tab/>
      </w:r>
      <w:r>
        <w:fldChar w:fldCharType="begin"/>
      </w:r>
      <w:r>
        <w:instrText xml:space="preserve"> PAGEREF _Toc17061 \h </w:instrText>
      </w:r>
      <w:r>
        <w:fldChar w:fldCharType="separate"/>
      </w:r>
      <w:r>
        <w:t>56</w:t>
      </w:r>
      <w:r>
        <w:fldChar w:fldCharType="end"/>
      </w:r>
      <w:r>
        <w:rPr>
          <w:rFonts w:ascii="宋体"/>
          <w:color w:val="auto"/>
          <w:szCs w:val="24"/>
          <w:highlight w:val="none"/>
          <w:lang w:eastAsia="zh-CN"/>
        </w:rPr>
        <w:fldChar w:fldCharType="end"/>
      </w:r>
    </w:p>
    <w:p w14:paraId="77C445A3">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_Toc11611 </w:instrText>
      </w:r>
      <w:r>
        <w:rPr>
          <w:rFonts w:ascii="宋体"/>
          <w:szCs w:val="24"/>
          <w:highlight w:val="none"/>
          <w:lang w:eastAsia="zh-CN"/>
        </w:rPr>
        <w:fldChar w:fldCharType="separate"/>
      </w:r>
      <w:r>
        <w:rPr>
          <w:rFonts w:hint="eastAsia"/>
          <w:szCs w:val="24"/>
          <w:highlight w:val="none"/>
          <w:lang w:val="en-US" w:eastAsia="zh-CN"/>
        </w:rPr>
        <w:t>五、</w:t>
      </w:r>
      <w:r>
        <w:rPr>
          <w:rFonts w:hint="eastAsia"/>
          <w:szCs w:val="24"/>
          <w:highlight w:val="none"/>
        </w:rPr>
        <w:t>资格证明文件</w:t>
      </w:r>
      <w:r>
        <w:tab/>
      </w:r>
      <w:r>
        <w:fldChar w:fldCharType="begin"/>
      </w:r>
      <w:r>
        <w:instrText xml:space="preserve"> PAGEREF _Toc11611 \h </w:instrText>
      </w:r>
      <w:r>
        <w:fldChar w:fldCharType="separate"/>
      </w:r>
      <w:r>
        <w:t>57</w:t>
      </w:r>
      <w:r>
        <w:fldChar w:fldCharType="end"/>
      </w:r>
      <w:r>
        <w:rPr>
          <w:rFonts w:ascii="宋体"/>
          <w:color w:val="auto"/>
          <w:szCs w:val="24"/>
          <w:highlight w:val="none"/>
          <w:lang w:eastAsia="zh-CN"/>
        </w:rPr>
        <w:fldChar w:fldCharType="end"/>
      </w:r>
    </w:p>
    <w:p w14:paraId="647DAB9B">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_Toc13545 </w:instrText>
      </w:r>
      <w:r>
        <w:rPr>
          <w:rFonts w:ascii="宋体"/>
          <w:szCs w:val="24"/>
          <w:highlight w:val="none"/>
          <w:lang w:eastAsia="zh-CN"/>
        </w:rPr>
        <w:fldChar w:fldCharType="separate"/>
      </w:r>
      <w:r>
        <w:rPr>
          <w:rFonts w:hint="eastAsia"/>
          <w:szCs w:val="24"/>
          <w:highlight w:val="none"/>
          <w:lang w:val="en-US" w:eastAsia="zh-CN"/>
        </w:rPr>
        <w:t>六、</w:t>
      </w:r>
      <w:r>
        <w:rPr>
          <w:rFonts w:hint="eastAsia"/>
          <w:szCs w:val="24"/>
          <w:highlight w:val="none"/>
        </w:rPr>
        <w:t>项目管理机构</w:t>
      </w:r>
      <w:r>
        <w:tab/>
      </w:r>
      <w:r>
        <w:fldChar w:fldCharType="begin"/>
      </w:r>
      <w:r>
        <w:instrText xml:space="preserve"> PAGEREF _Toc13545 \h </w:instrText>
      </w:r>
      <w:r>
        <w:fldChar w:fldCharType="separate"/>
      </w:r>
      <w:r>
        <w:t>64</w:t>
      </w:r>
      <w:r>
        <w:fldChar w:fldCharType="end"/>
      </w:r>
      <w:r>
        <w:rPr>
          <w:rFonts w:ascii="宋体"/>
          <w:color w:val="auto"/>
          <w:szCs w:val="24"/>
          <w:highlight w:val="none"/>
          <w:lang w:eastAsia="zh-CN"/>
        </w:rPr>
        <w:fldChar w:fldCharType="end"/>
      </w:r>
    </w:p>
    <w:p w14:paraId="3C71A7AE">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_Toc31262 </w:instrText>
      </w:r>
      <w:r>
        <w:rPr>
          <w:rFonts w:ascii="宋体"/>
          <w:szCs w:val="24"/>
          <w:highlight w:val="none"/>
          <w:lang w:eastAsia="zh-CN"/>
        </w:rPr>
        <w:fldChar w:fldCharType="separate"/>
      </w:r>
      <w:r>
        <w:rPr>
          <w:rFonts w:hint="eastAsia" w:ascii="Times New Roman" w:hAnsi="Times New Roman" w:cs="Times New Roman"/>
          <w:szCs w:val="24"/>
          <w:highlight w:val="none"/>
          <w:lang w:val="en-US" w:eastAsia="zh-CN"/>
        </w:rPr>
        <w:t>七、</w:t>
      </w:r>
      <w:r>
        <w:rPr>
          <w:rFonts w:hint="eastAsia"/>
          <w:kern w:val="0"/>
          <w:szCs w:val="24"/>
          <w:highlight w:val="none"/>
        </w:rPr>
        <w:t>类似项目业绩</w:t>
      </w:r>
      <w:r>
        <w:tab/>
      </w:r>
      <w:r>
        <w:fldChar w:fldCharType="begin"/>
      </w:r>
      <w:r>
        <w:instrText xml:space="preserve"> PAGEREF _Toc31262 \h </w:instrText>
      </w:r>
      <w:r>
        <w:fldChar w:fldCharType="separate"/>
      </w:r>
      <w:r>
        <w:t>65</w:t>
      </w:r>
      <w:r>
        <w:fldChar w:fldCharType="end"/>
      </w:r>
      <w:r>
        <w:rPr>
          <w:rFonts w:ascii="宋体"/>
          <w:color w:val="auto"/>
          <w:szCs w:val="24"/>
          <w:highlight w:val="none"/>
          <w:lang w:eastAsia="zh-CN"/>
        </w:rPr>
        <w:fldChar w:fldCharType="end"/>
      </w:r>
    </w:p>
    <w:p w14:paraId="2F1118B4">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_Toc15888 </w:instrText>
      </w:r>
      <w:r>
        <w:rPr>
          <w:rFonts w:ascii="宋体"/>
          <w:szCs w:val="24"/>
          <w:highlight w:val="none"/>
          <w:lang w:eastAsia="zh-CN"/>
        </w:rPr>
        <w:fldChar w:fldCharType="separate"/>
      </w:r>
      <w:r>
        <w:rPr>
          <w:rFonts w:hint="eastAsia" w:ascii="Times New Roman" w:hAnsi="Times New Roman" w:cs="Times New Roman"/>
          <w:szCs w:val="24"/>
          <w:highlight w:val="none"/>
          <w:lang w:val="en-US" w:eastAsia="zh-CN"/>
        </w:rPr>
        <w:t>八、技术部分</w:t>
      </w:r>
      <w:r>
        <w:tab/>
      </w:r>
      <w:r>
        <w:fldChar w:fldCharType="begin"/>
      </w:r>
      <w:r>
        <w:instrText xml:space="preserve"> PAGEREF _Toc15888 \h </w:instrText>
      </w:r>
      <w:r>
        <w:fldChar w:fldCharType="separate"/>
      </w:r>
      <w:r>
        <w:t>66</w:t>
      </w:r>
      <w:r>
        <w:fldChar w:fldCharType="end"/>
      </w:r>
      <w:r>
        <w:rPr>
          <w:rFonts w:ascii="宋体"/>
          <w:color w:val="auto"/>
          <w:szCs w:val="24"/>
          <w:highlight w:val="none"/>
          <w:lang w:eastAsia="zh-CN"/>
        </w:rPr>
        <w:fldChar w:fldCharType="end"/>
      </w:r>
    </w:p>
    <w:p w14:paraId="440C4EA5">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_Toc506 </w:instrText>
      </w:r>
      <w:r>
        <w:rPr>
          <w:rFonts w:ascii="宋体"/>
          <w:szCs w:val="24"/>
          <w:highlight w:val="none"/>
          <w:lang w:eastAsia="zh-CN"/>
        </w:rPr>
        <w:fldChar w:fldCharType="separate"/>
      </w:r>
      <w:r>
        <w:rPr>
          <w:rFonts w:hint="eastAsia"/>
          <w:szCs w:val="24"/>
          <w:highlight w:val="none"/>
          <w:lang w:val="en-US" w:eastAsia="zh-CN"/>
        </w:rPr>
        <w:t>九、服务承诺及合理化建议</w:t>
      </w:r>
      <w:r>
        <w:tab/>
      </w:r>
      <w:r>
        <w:fldChar w:fldCharType="begin"/>
      </w:r>
      <w:r>
        <w:instrText xml:space="preserve"> PAGEREF _Toc506 \h </w:instrText>
      </w:r>
      <w:r>
        <w:fldChar w:fldCharType="separate"/>
      </w:r>
      <w:r>
        <w:t>67</w:t>
      </w:r>
      <w:r>
        <w:fldChar w:fldCharType="end"/>
      </w:r>
      <w:r>
        <w:rPr>
          <w:rFonts w:ascii="宋体"/>
          <w:color w:val="auto"/>
          <w:szCs w:val="24"/>
          <w:highlight w:val="none"/>
          <w:lang w:eastAsia="zh-CN"/>
        </w:rPr>
        <w:fldChar w:fldCharType="end"/>
      </w:r>
    </w:p>
    <w:p w14:paraId="15CFABBE">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_Toc26539 </w:instrText>
      </w:r>
      <w:r>
        <w:rPr>
          <w:rFonts w:ascii="宋体"/>
          <w:szCs w:val="24"/>
          <w:highlight w:val="none"/>
          <w:lang w:eastAsia="zh-CN"/>
        </w:rPr>
        <w:fldChar w:fldCharType="separate"/>
      </w:r>
      <w:r>
        <w:rPr>
          <w:rFonts w:hint="eastAsia"/>
          <w:kern w:val="0"/>
          <w:szCs w:val="24"/>
          <w:highlight w:val="none"/>
          <w:lang w:val="en-US" w:eastAsia="zh-CN"/>
        </w:rPr>
        <w:t>十</w:t>
      </w:r>
      <w:r>
        <w:rPr>
          <w:rFonts w:hint="eastAsia"/>
          <w:kern w:val="0"/>
          <w:szCs w:val="24"/>
          <w:highlight w:val="none"/>
        </w:rPr>
        <w:t>、中小企业声明函（</w:t>
      </w:r>
      <w:r>
        <w:rPr>
          <w:rFonts w:hint="eastAsia"/>
          <w:kern w:val="0"/>
          <w:szCs w:val="24"/>
          <w:highlight w:val="none"/>
          <w:lang w:val="en-US" w:eastAsia="zh-CN"/>
        </w:rPr>
        <w:t>服务</w:t>
      </w:r>
      <w:r>
        <w:rPr>
          <w:rFonts w:hint="eastAsia"/>
          <w:kern w:val="0"/>
          <w:szCs w:val="24"/>
          <w:highlight w:val="none"/>
        </w:rPr>
        <w:t>）</w:t>
      </w:r>
      <w:r>
        <w:tab/>
      </w:r>
      <w:r>
        <w:fldChar w:fldCharType="begin"/>
      </w:r>
      <w:r>
        <w:instrText xml:space="preserve"> PAGEREF _Toc26539 \h </w:instrText>
      </w:r>
      <w:r>
        <w:fldChar w:fldCharType="separate"/>
      </w:r>
      <w:r>
        <w:t>68</w:t>
      </w:r>
      <w:r>
        <w:fldChar w:fldCharType="end"/>
      </w:r>
      <w:r>
        <w:rPr>
          <w:rFonts w:ascii="宋体"/>
          <w:color w:val="auto"/>
          <w:szCs w:val="24"/>
          <w:highlight w:val="none"/>
          <w:lang w:eastAsia="zh-CN"/>
        </w:rPr>
        <w:fldChar w:fldCharType="end"/>
      </w:r>
    </w:p>
    <w:p w14:paraId="1D80B93E">
      <w:pPr>
        <w:pStyle w:val="20"/>
        <w:tabs>
          <w:tab w:val="right" w:leader="dot" w:pos="9077"/>
        </w:tabs>
      </w:pPr>
      <w:r>
        <w:rPr>
          <w:rFonts w:ascii="宋体"/>
          <w:color w:val="auto"/>
          <w:szCs w:val="24"/>
          <w:highlight w:val="none"/>
          <w:lang w:eastAsia="zh-CN"/>
        </w:rPr>
        <w:fldChar w:fldCharType="begin"/>
      </w:r>
      <w:r>
        <w:rPr>
          <w:rFonts w:ascii="宋体"/>
          <w:szCs w:val="24"/>
          <w:highlight w:val="none"/>
          <w:lang w:eastAsia="zh-CN"/>
        </w:rPr>
        <w:instrText xml:space="preserve"> HYPERLINK \l _Toc16442 </w:instrText>
      </w:r>
      <w:r>
        <w:rPr>
          <w:rFonts w:ascii="宋体"/>
          <w:szCs w:val="24"/>
          <w:highlight w:val="none"/>
          <w:lang w:eastAsia="zh-CN"/>
        </w:rPr>
        <w:fldChar w:fldCharType="separate"/>
      </w:r>
      <w:r>
        <w:rPr>
          <w:rFonts w:hint="eastAsia" w:cs="宋体"/>
          <w:bCs/>
          <w:kern w:val="2"/>
          <w:szCs w:val="28"/>
          <w:lang w:val="en-US" w:eastAsia="zh-CN" w:bidi="ar-SA"/>
        </w:rPr>
        <w:t>十一、供应商</w:t>
      </w:r>
      <w:r>
        <w:rPr>
          <w:rFonts w:hint="eastAsia" w:ascii="宋体" w:hAnsi="宋体" w:eastAsia="宋体" w:cs="宋体"/>
          <w:bCs/>
          <w:kern w:val="2"/>
          <w:szCs w:val="28"/>
          <w:lang w:val="en-US" w:eastAsia="zh-CN" w:bidi="ar-SA"/>
        </w:rPr>
        <w:t>认为有必要提供的其它资料</w:t>
      </w:r>
      <w:r>
        <w:tab/>
      </w:r>
      <w:r>
        <w:fldChar w:fldCharType="begin"/>
      </w:r>
      <w:r>
        <w:instrText xml:space="preserve"> PAGEREF _Toc16442 \h </w:instrText>
      </w:r>
      <w:r>
        <w:fldChar w:fldCharType="separate"/>
      </w:r>
      <w:r>
        <w:t>71</w:t>
      </w:r>
      <w:r>
        <w:fldChar w:fldCharType="end"/>
      </w:r>
      <w:r>
        <w:rPr>
          <w:rFonts w:ascii="宋体"/>
          <w:color w:val="auto"/>
          <w:szCs w:val="24"/>
          <w:highlight w:val="none"/>
          <w:lang w:eastAsia="zh-CN"/>
        </w:rPr>
        <w:fldChar w:fldCharType="end"/>
      </w:r>
    </w:p>
    <w:p w14:paraId="7ED0810C">
      <w:pPr>
        <w:pStyle w:val="69"/>
        <w:tabs>
          <w:tab w:val="right" w:leader="dot" w:pos="9060"/>
        </w:tabs>
        <w:spacing w:before="0" w:after="0" w:line="480" w:lineRule="auto"/>
        <w:rPr>
          <w:rStyle w:val="97"/>
          <w:rFonts w:ascii="宋体"/>
          <w:color w:val="auto"/>
          <w:sz w:val="24"/>
          <w:szCs w:val="24"/>
          <w:highlight w:val="none"/>
          <w:lang w:eastAsia="zh-CN"/>
        </w:rPr>
      </w:pPr>
      <w:r>
        <w:rPr>
          <w:rFonts w:ascii="宋体"/>
          <w:color w:val="auto"/>
          <w:szCs w:val="24"/>
          <w:highlight w:val="none"/>
          <w:lang w:eastAsia="zh-CN"/>
        </w:rPr>
        <w:fldChar w:fldCharType="end"/>
      </w:r>
    </w:p>
    <w:p w14:paraId="75D95A72">
      <w:pPr>
        <w:rPr>
          <w:rStyle w:val="97"/>
          <w:rFonts w:hint="eastAsia" w:eastAsia="宋体"/>
          <w:b/>
          <w:bCs/>
          <w:color w:val="auto"/>
          <w:sz w:val="24"/>
          <w:szCs w:val="24"/>
          <w:highlight w:val="none"/>
          <w:lang w:val="en-US" w:eastAsia="zh-CN"/>
        </w:rPr>
      </w:pPr>
      <w:r>
        <w:rPr>
          <w:rStyle w:val="97"/>
          <w:rFonts w:cs="宋体"/>
          <w:b/>
          <w:bCs/>
          <w:color w:val="auto"/>
          <w:sz w:val="24"/>
          <w:szCs w:val="24"/>
          <w:highlight w:val="none"/>
        </w:rPr>
        <w:br w:type="page"/>
      </w:r>
    </w:p>
    <w:p w14:paraId="277038E1">
      <w:pPr>
        <w:keepNext w:val="0"/>
        <w:keepLines w:val="0"/>
        <w:pageBreakBefore w:val="0"/>
        <w:numPr>
          <w:ilvl w:val="0"/>
          <w:numId w:val="0"/>
        </w:numPr>
        <w:kinsoku/>
        <w:wordWrap/>
        <w:overflowPunct/>
        <w:topLinePunct w:val="0"/>
        <w:autoSpaceDE/>
        <w:autoSpaceDN/>
        <w:bidi w:val="0"/>
        <w:adjustRightInd/>
        <w:snapToGrid/>
        <w:spacing w:after="0" w:line="500" w:lineRule="exact"/>
        <w:jc w:val="center"/>
        <w:outlineLvl w:val="0"/>
        <w:rPr>
          <w:rStyle w:val="97"/>
          <w:b/>
          <w:bCs/>
          <w:color w:val="auto"/>
          <w:sz w:val="24"/>
          <w:szCs w:val="24"/>
          <w:highlight w:val="none"/>
        </w:rPr>
      </w:pPr>
      <w:bookmarkStart w:id="1" w:name="_Toc19941"/>
      <w:bookmarkStart w:id="2" w:name="_Toc5846"/>
      <w:bookmarkStart w:id="3" w:name="_Toc21098"/>
      <w:bookmarkStart w:id="4" w:name="_Toc30660"/>
      <w:r>
        <w:rPr>
          <w:rStyle w:val="97"/>
          <w:rFonts w:hint="eastAsia"/>
          <w:b/>
          <w:bCs/>
          <w:color w:val="auto"/>
          <w:sz w:val="24"/>
          <w:szCs w:val="24"/>
          <w:highlight w:val="none"/>
          <w:lang w:val="en-US" w:eastAsia="zh-CN"/>
        </w:rPr>
        <w:t xml:space="preserve">第一章  </w:t>
      </w:r>
      <w:r>
        <w:rPr>
          <w:rStyle w:val="97"/>
          <w:rFonts w:hint="eastAsia"/>
          <w:b/>
          <w:bCs/>
          <w:color w:val="auto"/>
          <w:sz w:val="24"/>
          <w:szCs w:val="24"/>
          <w:highlight w:val="none"/>
        </w:rPr>
        <w:t>竞争性磋商</w:t>
      </w:r>
      <w:bookmarkEnd w:id="1"/>
      <w:bookmarkEnd w:id="2"/>
      <w:bookmarkEnd w:id="3"/>
      <w:r>
        <w:rPr>
          <w:rStyle w:val="97"/>
          <w:rFonts w:hint="eastAsia"/>
          <w:b/>
          <w:bCs/>
          <w:color w:val="auto"/>
          <w:sz w:val="24"/>
          <w:szCs w:val="24"/>
          <w:highlight w:val="none"/>
          <w:lang w:val="en-US" w:eastAsia="zh-CN"/>
        </w:rPr>
        <w:t>公告</w:t>
      </w:r>
      <w:bookmarkEnd w:id="4"/>
    </w:p>
    <w:p w14:paraId="3249F3FC">
      <w:pPr>
        <w:keepNext w:val="0"/>
        <w:keepLines w:val="0"/>
        <w:pageBreakBefore w:val="0"/>
        <w:kinsoku/>
        <w:wordWrap/>
        <w:overflowPunct/>
        <w:topLinePunct w:val="0"/>
        <w:autoSpaceDE/>
        <w:autoSpaceDN/>
        <w:bidi w:val="0"/>
        <w:adjustRightInd/>
        <w:snapToGrid/>
        <w:spacing w:after="0" w:line="500" w:lineRule="exact"/>
        <w:jc w:val="center"/>
        <w:textAlignment w:val="auto"/>
        <w:rPr>
          <w:rStyle w:val="97"/>
          <w:b/>
          <w:color w:val="auto"/>
          <w:sz w:val="24"/>
          <w:szCs w:val="24"/>
          <w:highlight w:val="none"/>
        </w:rPr>
      </w:pPr>
      <w:r>
        <w:rPr>
          <w:rStyle w:val="97"/>
          <w:rFonts w:hint="eastAsia"/>
          <w:b/>
          <w:color w:val="auto"/>
          <w:sz w:val="24"/>
          <w:szCs w:val="24"/>
          <w:highlight w:val="none"/>
          <w:lang w:eastAsia="zh-CN"/>
        </w:rPr>
        <w:t>郑州市自然资源和规划局高新分局不动产登记和房地产交易中心档案整理项目</w:t>
      </w:r>
      <w:r>
        <w:rPr>
          <w:rStyle w:val="97"/>
          <w:rFonts w:hint="eastAsia"/>
          <w:b/>
          <w:color w:val="auto"/>
          <w:sz w:val="24"/>
          <w:szCs w:val="24"/>
          <w:highlight w:val="none"/>
        </w:rPr>
        <w:t>竞争性磋商公告</w:t>
      </w:r>
    </w:p>
    <w:p w14:paraId="766E53C8">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cs="宋体"/>
          <w:color w:val="auto"/>
          <w:sz w:val="24"/>
          <w:szCs w:val="24"/>
          <w:highlight w:val="none"/>
        </w:rPr>
      </w:pPr>
      <w:r>
        <w:rPr>
          <w:rFonts w:hint="eastAsia" w:cs="宋体"/>
          <w:color w:val="auto"/>
          <w:sz w:val="24"/>
          <w:szCs w:val="24"/>
          <w:highlight w:val="none"/>
        </w:rPr>
        <w:t>项目概况</w:t>
      </w:r>
    </w:p>
    <w:p w14:paraId="1BF67D01">
      <w:pPr>
        <w:keepNext w:val="0"/>
        <w:keepLines w:val="0"/>
        <w:pageBreakBefore w:val="0"/>
        <w:kinsoku/>
        <w:wordWrap/>
        <w:overflowPunct/>
        <w:topLinePunct w:val="0"/>
        <w:autoSpaceDE/>
        <w:autoSpaceDN/>
        <w:bidi w:val="0"/>
        <w:adjustRightInd/>
        <w:snapToGrid/>
        <w:spacing w:after="0" w:line="500" w:lineRule="exact"/>
        <w:ind w:firstLine="480" w:firstLineChars="200"/>
        <w:rPr>
          <w:rFonts w:cs="宋体"/>
          <w:color w:val="auto"/>
          <w:sz w:val="24"/>
          <w:szCs w:val="24"/>
          <w:highlight w:val="none"/>
        </w:rPr>
      </w:pPr>
      <w:r>
        <w:rPr>
          <w:rFonts w:hint="eastAsia" w:cs="宋体"/>
          <w:color w:val="auto"/>
          <w:sz w:val="24"/>
          <w:szCs w:val="24"/>
          <w:highlight w:val="none"/>
          <w:lang w:eastAsia="zh-CN"/>
        </w:rPr>
        <w:t>郑州市自然资源和规划局高新分局不动产登记和房地产交易中心档案整理项目</w:t>
      </w:r>
      <w:r>
        <w:rPr>
          <w:rFonts w:hint="eastAsia" w:cs="宋体"/>
          <w:color w:val="auto"/>
          <w:sz w:val="24"/>
          <w:szCs w:val="24"/>
          <w:highlight w:val="none"/>
        </w:rPr>
        <w:t>的潜在投标人应在郑州市公共</w:t>
      </w:r>
      <w:r>
        <w:rPr>
          <w:rFonts w:hint="eastAsia" w:cs="宋体"/>
          <w:b w:val="0"/>
          <w:bCs w:val="0"/>
          <w:color w:val="auto"/>
          <w:sz w:val="24"/>
          <w:szCs w:val="24"/>
          <w:highlight w:val="none"/>
        </w:rPr>
        <w:t>资源交易中心（http://zzggzy.zhengzhou.gov.cn/）电子交易平台获取招标文件，并于</w:t>
      </w:r>
      <w:r>
        <w:rPr>
          <w:rFonts w:hint="eastAsia" w:cs="宋体"/>
          <w:b w:val="0"/>
          <w:bCs w:val="0"/>
          <w:color w:val="auto"/>
          <w:sz w:val="24"/>
          <w:szCs w:val="24"/>
          <w:highlight w:val="none"/>
          <w:lang w:eastAsia="zh-CN"/>
        </w:rPr>
        <w:t>202</w:t>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lang w:eastAsia="zh-CN"/>
        </w:rPr>
        <w:t>年</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lang w:eastAsia="zh-CN"/>
        </w:rPr>
        <w:t>月</w:t>
      </w:r>
      <w:r>
        <w:rPr>
          <w:rFonts w:hint="eastAsia" w:cs="宋体"/>
          <w:b w:val="0"/>
          <w:bCs w:val="0"/>
          <w:color w:val="auto"/>
          <w:sz w:val="24"/>
          <w:szCs w:val="24"/>
          <w:highlight w:val="none"/>
          <w:lang w:val="en-US" w:eastAsia="zh-CN"/>
        </w:rPr>
        <w:t>16</w:t>
      </w:r>
      <w:r>
        <w:rPr>
          <w:rFonts w:hint="eastAsia" w:cs="宋体"/>
          <w:b w:val="0"/>
          <w:bCs w:val="0"/>
          <w:color w:val="auto"/>
          <w:sz w:val="24"/>
          <w:szCs w:val="24"/>
          <w:highlight w:val="none"/>
          <w:lang w:eastAsia="zh-CN"/>
        </w:rPr>
        <w:t>日</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lang w:eastAsia="zh-CN"/>
        </w:rPr>
        <w:t>时</w:t>
      </w:r>
      <w:r>
        <w:rPr>
          <w:rFonts w:hint="eastAsia" w:cs="宋体"/>
          <w:b w:val="0"/>
          <w:bCs w:val="0"/>
          <w:color w:val="auto"/>
          <w:sz w:val="24"/>
          <w:szCs w:val="24"/>
          <w:highlight w:val="none"/>
          <w:lang w:val="en-US" w:eastAsia="zh-CN"/>
        </w:rPr>
        <w:t>00</w:t>
      </w:r>
      <w:r>
        <w:rPr>
          <w:rFonts w:hint="eastAsia" w:cs="宋体"/>
          <w:b w:val="0"/>
          <w:bCs w:val="0"/>
          <w:color w:val="auto"/>
          <w:sz w:val="24"/>
          <w:szCs w:val="24"/>
          <w:highlight w:val="none"/>
          <w:lang w:eastAsia="zh-CN"/>
        </w:rPr>
        <w:t>分</w:t>
      </w:r>
      <w:r>
        <w:rPr>
          <w:rFonts w:hint="eastAsia" w:cs="宋体"/>
          <w:b w:val="0"/>
          <w:bCs w:val="0"/>
          <w:color w:val="auto"/>
          <w:sz w:val="24"/>
          <w:szCs w:val="24"/>
          <w:highlight w:val="none"/>
        </w:rPr>
        <w:t>（</w:t>
      </w:r>
      <w:r>
        <w:rPr>
          <w:rFonts w:hint="eastAsia" w:cs="宋体"/>
          <w:color w:val="auto"/>
          <w:sz w:val="24"/>
          <w:szCs w:val="24"/>
          <w:highlight w:val="none"/>
        </w:rPr>
        <w:t>北京时间）前递交响应文件。</w:t>
      </w:r>
    </w:p>
    <w:p w14:paraId="78F488C7">
      <w:pPr>
        <w:keepNext w:val="0"/>
        <w:keepLines w:val="0"/>
        <w:pageBreakBefore w:val="0"/>
        <w:kinsoku/>
        <w:wordWrap/>
        <w:overflowPunct/>
        <w:topLinePunct w:val="0"/>
        <w:autoSpaceDE/>
        <w:autoSpaceDN/>
        <w:bidi w:val="0"/>
        <w:spacing w:after="0" w:line="500" w:lineRule="exact"/>
        <w:rPr>
          <w:rFonts w:cs="宋体"/>
          <w:color w:val="auto"/>
          <w:sz w:val="24"/>
          <w:szCs w:val="24"/>
          <w:highlight w:val="none"/>
        </w:rPr>
      </w:pPr>
      <w:r>
        <w:rPr>
          <w:rFonts w:hint="eastAsia" w:cs="宋体"/>
          <w:color w:val="auto"/>
          <w:sz w:val="24"/>
          <w:szCs w:val="24"/>
          <w:highlight w:val="none"/>
        </w:rPr>
        <w:t>一、项目基本情况：</w:t>
      </w:r>
    </w:p>
    <w:p w14:paraId="6E43C04B">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cs="宋体"/>
          <w:color w:val="auto"/>
          <w:sz w:val="24"/>
          <w:szCs w:val="24"/>
          <w:highlight w:val="none"/>
        </w:rPr>
        <w:t>1</w:t>
      </w:r>
      <w:r>
        <w:rPr>
          <w:rFonts w:hint="eastAsia" w:cs="宋体"/>
          <w:color w:val="auto"/>
          <w:sz w:val="24"/>
          <w:szCs w:val="24"/>
          <w:highlight w:val="none"/>
        </w:rPr>
        <w:t>、项目编号：</w:t>
      </w:r>
      <w:r>
        <w:rPr>
          <w:rFonts w:hint="eastAsia" w:cs="宋体"/>
          <w:color w:val="auto"/>
          <w:sz w:val="24"/>
          <w:szCs w:val="24"/>
          <w:highlight w:val="none"/>
          <w:lang w:eastAsia="zh-CN"/>
        </w:rPr>
        <w:t>高新竞争性磋商采购[2024]24号</w:t>
      </w:r>
    </w:p>
    <w:p w14:paraId="4BAB3CB3">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cs="宋体"/>
          <w:color w:val="auto"/>
          <w:sz w:val="24"/>
          <w:szCs w:val="24"/>
          <w:highlight w:val="none"/>
        </w:rPr>
        <w:t>2</w:t>
      </w:r>
      <w:r>
        <w:rPr>
          <w:rFonts w:hint="eastAsia" w:cs="宋体"/>
          <w:color w:val="auto"/>
          <w:sz w:val="24"/>
          <w:szCs w:val="24"/>
          <w:highlight w:val="none"/>
        </w:rPr>
        <w:t>、项目名称：</w:t>
      </w:r>
      <w:r>
        <w:rPr>
          <w:rFonts w:hint="eastAsia" w:cs="宋体"/>
          <w:color w:val="auto"/>
          <w:sz w:val="24"/>
          <w:szCs w:val="24"/>
          <w:highlight w:val="none"/>
          <w:lang w:eastAsia="zh-CN"/>
        </w:rPr>
        <w:t>郑州市自然资源和规划局高新分局不动产登记和房地产交易中心档案整理项目</w:t>
      </w:r>
    </w:p>
    <w:p w14:paraId="376C0FE4">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3</w:t>
      </w:r>
      <w:r>
        <w:rPr>
          <w:rFonts w:hint="eastAsia" w:cs="宋体"/>
          <w:color w:val="auto"/>
          <w:sz w:val="24"/>
          <w:szCs w:val="24"/>
          <w:highlight w:val="none"/>
        </w:rPr>
        <w:t>、采购方式：竞争性磋商</w:t>
      </w:r>
    </w:p>
    <w:p w14:paraId="6D25F56B">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4</w:t>
      </w:r>
      <w:r>
        <w:rPr>
          <w:rFonts w:hint="eastAsia" w:cs="宋体"/>
          <w:color w:val="auto"/>
          <w:sz w:val="24"/>
          <w:szCs w:val="24"/>
          <w:highlight w:val="none"/>
        </w:rPr>
        <w:t>、预算金额：</w:t>
      </w:r>
      <w:r>
        <w:rPr>
          <w:rFonts w:hint="eastAsia" w:cs="宋体"/>
          <w:color w:val="auto"/>
          <w:sz w:val="24"/>
          <w:szCs w:val="24"/>
          <w:highlight w:val="none"/>
          <w:lang w:val="en-US" w:eastAsia="zh-CN"/>
        </w:rPr>
        <w:t>600000.00</w:t>
      </w:r>
      <w:r>
        <w:rPr>
          <w:rFonts w:hint="eastAsia" w:cs="宋体"/>
          <w:color w:val="auto"/>
          <w:sz w:val="24"/>
          <w:szCs w:val="24"/>
          <w:highlight w:val="none"/>
        </w:rPr>
        <w:t>元</w:t>
      </w:r>
    </w:p>
    <w:p w14:paraId="09D0E50E">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color w:val="auto"/>
          <w:sz w:val="24"/>
          <w:szCs w:val="24"/>
          <w:highlight w:val="none"/>
        </w:rPr>
      </w:pPr>
      <w:r>
        <w:rPr>
          <w:color w:val="auto"/>
          <w:sz w:val="24"/>
          <w:szCs w:val="24"/>
          <w:highlight w:val="none"/>
        </w:rPr>
        <w:t xml:space="preserve">   </w:t>
      </w:r>
      <w:r>
        <w:rPr>
          <w:rFonts w:hint="eastAsia"/>
          <w:color w:val="auto"/>
          <w:sz w:val="24"/>
          <w:szCs w:val="24"/>
          <w:highlight w:val="none"/>
        </w:rPr>
        <w:t>最高限价：</w:t>
      </w:r>
      <w:r>
        <w:rPr>
          <w:rFonts w:hint="eastAsia" w:cs="宋体"/>
          <w:color w:val="auto"/>
          <w:sz w:val="24"/>
          <w:szCs w:val="24"/>
          <w:highlight w:val="none"/>
          <w:lang w:val="en-US" w:eastAsia="zh-CN"/>
        </w:rPr>
        <w:t>600000.00</w:t>
      </w:r>
      <w:r>
        <w:rPr>
          <w:rFonts w:hint="eastAsia" w:cs="宋体"/>
          <w:color w:val="auto"/>
          <w:sz w:val="24"/>
          <w:szCs w:val="24"/>
          <w:highlight w:val="none"/>
        </w:rPr>
        <w:t>元</w:t>
      </w:r>
    </w:p>
    <w:tbl>
      <w:tblPr>
        <w:tblStyle w:val="22"/>
        <w:tblW w:w="11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66"/>
        <w:gridCol w:w="2650"/>
        <w:gridCol w:w="1624"/>
        <w:gridCol w:w="1471"/>
        <w:gridCol w:w="1471"/>
        <w:gridCol w:w="1471"/>
      </w:tblGrid>
      <w:tr w14:paraId="56F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67" w:type="dxa"/>
            <w:vAlign w:val="center"/>
          </w:tcPr>
          <w:p w14:paraId="501FCC4A">
            <w:pPr>
              <w:pStyle w:val="2"/>
              <w:keepNext w:val="0"/>
              <w:keepLines w:val="0"/>
              <w:pageBreakBefore w:val="0"/>
              <w:widowControl w:val="0"/>
              <w:kinsoku/>
              <w:wordWrap/>
              <w:overflowPunct/>
              <w:topLinePunct w:val="0"/>
              <w:autoSpaceDE/>
              <w:autoSpaceDN/>
              <w:bidi w:val="0"/>
              <w:spacing w:after="0" w:line="500" w:lineRule="exact"/>
              <w:jc w:val="center"/>
              <w:textAlignment w:val="auto"/>
              <w:rPr>
                <w:color w:val="auto"/>
                <w:sz w:val="24"/>
                <w:szCs w:val="24"/>
                <w:highlight w:val="none"/>
              </w:rPr>
            </w:pPr>
            <w:r>
              <w:rPr>
                <w:rFonts w:hint="eastAsia"/>
                <w:color w:val="auto"/>
                <w:sz w:val="24"/>
                <w:szCs w:val="24"/>
                <w:highlight w:val="none"/>
              </w:rPr>
              <w:t>序号</w:t>
            </w:r>
          </w:p>
        </w:tc>
        <w:tc>
          <w:tcPr>
            <w:tcW w:w="1766" w:type="dxa"/>
            <w:vAlign w:val="center"/>
          </w:tcPr>
          <w:p w14:paraId="6E5A0F41">
            <w:pPr>
              <w:pStyle w:val="2"/>
              <w:keepNext w:val="0"/>
              <w:keepLines w:val="0"/>
              <w:pageBreakBefore w:val="0"/>
              <w:widowControl w:val="0"/>
              <w:kinsoku/>
              <w:wordWrap/>
              <w:overflowPunct/>
              <w:topLinePunct w:val="0"/>
              <w:autoSpaceDE/>
              <w:autoSpaceDN/>
              <w:bidi w:val="0"/>
              <w:spacing w:after="0" w:line="500" w:lineRule="exact"/>
              <w:jc w:val="center"/>
              <w:textAlignment w:val="auto"/>
              <w:rPr>
                <w:color w:val="auto"/>
                <w:sz w:val="24"/>
                <w:szCs w:val="24"/>
                <w:highlight w:val="none"/>
              </w:rPr>
            </w:pPr>
            <w:r>
              <w:rPr>
                <w:rFonts w:hint="eastAsia"/>
                <w:color w:val="auto"/>
                <w:sz w:val="24"/>
                <w:szCs w:val="24"/>
                <w:highlight w:val="none"/>
              </w:rPr>
              <w:t>包号</w:t>
            </w:r>
          </w:p>
        </w:tc>
        <w:tc>
          <w:tcPr>
            <w:tcW w:w="2650" w:type="dxa"/>
            <w:vAlign w:val="center"/>
          </w:tcPr>
          <w:p w14:paraId="32209BDC">
            <w:pPr>
              <w:pStyle w:val="2"/>
              <w:keepNext w:val="0"/>
              <w:keepLines w:val="0"/>
              <w:pageBreakBefore w:val="0"/>
              <w:widowControl w:val="0"/>
              <w:kinsoku/>
              <w:wordWrap/>
              <w:overflowPunct/>
              <w:topLinePunct w:val="0"/>
              <w:autoSpaceDE/>
              <w:autoSpaceDN/>
              <w:bidi w:val="0"/>
              <w:spacing w:after="0" w:line="500" w:lineRule="exact"/>
              <w:jc w:val="center"/>
              <w:textAlignment w:val="auto"/>
              <w:rPr>
                <w:color w:val="auto"/>
                <w:sz w:val="24"/>
                <w:szCs w:val="24"/>
                <w:highlight w:val="none"/>
              </w:rPr>
            </w:pPr>
            <w:r>
              <w:rPr>
                <w:rFonts w:hint="eastAsia"/>
                <w:color w:val="auto"/>
                <w:sz w:val="24"/>
                <w:szCs w:val="24"/>
                <w:highlight w:val="none"/>
              </w:rPr>
              <w:t>包名称</w:t>
            </w:r>
          </w:p>
        </w:tc>
        <w:tc>
          <w:tcPr>
            <w:tcW w:w="1624" w:type="dxa"/>
            <w:vAlign w:val="center"/>
          </w:tcPr>
          <w:p w14:paraId="5291FB8B">
            <w:pPr>
              <w:pStyle w:val="2"/>
              <w:keepNext w:val="0"/>
              <w:keepLines w:val="0"/>
              <w:pageBreakBefore w:val="0"/>
              <w:widowControl w:val="0"/>
              <w:kinsoku/>
              <w:wordWrap/>
              <w:overflowPunct/>
              <w:topLinePunct w:val="0"/>
              <w:autoSpaceDE/>
              <w:autoSpaceDN/>
              <w:bidi w:val="0"/>
              <w:spacing w:after="0" w:line="500" w:lineRule="exact"/>
              <w:jc w:val="center"/>
              <w:textAlignment w:val="auto"/>
              <w:rPr>
                <w:color w:val="auto"/>
                <w:sz w:val="24"/>
                <w:szCs w:val="24"/>
                <w:highlight w:val="none"/>
              </w:rPr>
            </w:pPr>
            <w:r>
              <w:rPr>
                <w:rFonts w:hint="eastAsia"/>
                <w:color w:val="auto"/>
                <w:sz w:val="24"/>
                <w:szCs w:val="24"/>
                <w:highlight w:val="none"/>
              </w:rPr>
              <w:t>包预算（元）</w:t>
            </w:r>
          </w:p>
        </w:tc>
        <w:tc>
          <w:tcPr>
            <w:tcW w:w="1471" w:type="dxa"/>
            <w:vAlign w:val="center"/>
          </w:tcPr>
          <w:p w14:paraId="6C8F92A4">
            <w:pPr>
              <w:pStyle w:val="2"/>
              <w:keepNext w:val="0"/>
              <w:keepLines w:val="0"/>
              <w:pageBreakBefore w:val="0"/>
              <w:widowControl w:val="0"/>
              <w:kinsoku/>
              <w:wordWrap/>
              <w:overflowPunct/>
              <w:topLinePunct w:val="0"/>
              <w:autoSpaceDE/>
              <w:autoSpaceDN/>
              <w:bidi w:val="0"/>
              <w:spacing w:after="0" w:line="500" w:lineRule="exact"/>
              <w:jc w:val="center"/>
              <w:textAlignment w:val="auto"/>
              <w:rPr>
                <w:color w:val="auto"/>
                <w:sz w:val="24"/>
                <w:szCs w:val="24"/>
                <w:highlight w:val="none"/>
              </w:rPr>
            </w:pPr>
            <w:r>
              <w:rPr>
                <w:rFonts w:hint="eastAsia"/>
                <w:color w:val="auto"/>
                <w:sz w:val="24"/>
                <w:szCs w:val="24"/>
                <w:highlight w:val="none"/>
              </w:rPr>
              <w:t>包最高限价（元）</w:t>
            </w:r>
          </w:p>
        </w:tc>
        <w:tc>
          <w:tcPr>
            <w:tcW w:w="1471" w:type="dxa"/>
            <w:vAlign w:val="center"/>
          </w:tcPr>
          <w:p w14:paraId="45538309">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color w:val="auto"/>
                <w:sz w:val="24"/>
                <w:szCs w:val="24"/>
                <w:highlight w:val="none"/>
              </w:rPr>
            </w:pPr>
            <w:r>
              <w:rPr>
                <w:rFonts w:hint="eastAsia"/>
                <w:color w:val="auto"/>
                <w:sz w:val="24"/>
                <w:szCs w:val="24"/>
                <w:highlight w:val="none"/>
              </w:rPr>
              <w:t>是否专门面向中小企业</w:t>
            </w:r>
          </w:p>
        </w:tc>
        <w:tc>
          <w:tcPr>
            <w:tcW w:w="1471" w:type="dxa"/>
            <w:vAlign w:val="center"/>
          </w:tcPr>
          <w:p w14:paraId="799666E0">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color w:val="auto"/>
                <w:sz w:val="24"/>
                <w:szCs w:val="24"/>
                <w:highlight w:val="none"/>
              </w:rPr>
            </w:pPr>
            <w:r>
              <w:rPr>
                <w:rFonts w:hint="eastAsia"/>
                <w:color w:val="auto"/>
                <w:sz w:val="24"/>
                <w:szCs w:val="24"/>
                <w:highlight w:val="none"/>
              </w:rPr>
              <w:t>采购预留金额（元）</w:t>
            </w:r>
          </w:p>
        </w:tc>
      </w:tr>
      <w:tr w14:paraId="0A62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7" w:type="dxa"/>
            <w:vAlign w:val="center"/>
          </w:tcPr>
          <w:p w14:paraId="0EEE9BE3">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766" w:type="dxa"/>
            <w:vAlign w:val="center"/>
          </w:tcPr>
          <w:p w14:paraId="2C267BE4">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eastAsia="宋体"/>
                <w:color w:val="auto"/>
                <w:sz w:val="24"/>
                <w:szCs w:val="24"/>
                <w:highlight w:val="none"/>
                <w:lang w:val="en-US" w:eastAsia="zh-CN"/>
              </w:rPr>
            </w:pPr>
            <w:r>
              <w:rPr>
                <w:rFonts w:hint="eastAsia" w:cs="宋体"/>
                <w:color w:val="auto"/>
                <w:sz w:val="24"/>
                <w:szCs w:val="24"/>
                <w:highlight w:val="none"/>
                <w:lang w:eastAsia="zh-CN"/>
              </w:rPr>
              <w:t>高新竞争性磋商采购[2024]24号</w:t>
            </w:r>
          </w:p>
        </w:tc>
        <w:tc>
          <w:tcPr>
            <w:tcW w:w="2650" w:type="dxa"/>
            <w:vAlign w:val="center"/>
          </w:tcPr>
          <w:p w14:paraId="0792A0E7">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eastAsia="宋体"/>
                <w:color w:val="auto"/>
                <w:sz w:val="24"/>
                <w:szCs w:val="24"/>
                <w:highlight w:val="none"/>
                <w:lang w:eastAsia="zh-CN"/>
              </w:rPr>
            </w:pPr>
            <w:r>
              <w:rPr>
                <w:rFonts w:hint="eastAsia"/>
                <w:color w:val="auto"/>
                <w:sz w:val="24"/>
                <w:szCs w:val="24"/>
                <w:highlight w:val="none"/>
                <w:lang w:eastAsia="zh-CN"/>
              </w:rPr>
              <w:t>郑州市自然资源和规划局高新分局不动产登记和房地产交易中心档案整理项目</w:t>
            </w:r>
          </w:p>
        </w:tc>
        <w:tc>
          <w:tcPr>
            <w:tcW w:w="1624" w:type="dxa"/>
            <w:vAlign w:val="center"/>
          </w:tcPr>
          <w:p w14:paraId="2C5917E1">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default" w:eastAsia="宋体"/>
                <w:color w:val="auto"/>
                <w:sz w:val="24"/>
                <w:szCs w:val="24"/>
                <w:highlight w:val="none"/>
                <w:lang w:val="en-US" w:eastAsia="zh-CN"/>
              </w:rPr>
            </w:pPr>
            <w:r>
              <w:rPr>
                <w:rFonts w:hint="eastAsia" w:cs="宋体"/>
                <w:color w:val="auto"/>
                <w:sz w:val="24"/>
                <w:szCs w:val="24"/>
                <w:highlight w:val="none"/>
                <w:lang w:val="en-US" w:eastAsia="zh-CN"/>
              </w:rPr>
              <w:t>600000.00</w:t>
            </w:r>
          </w:p>
        </w:tc>
        <w:tc>
          <w:tcPr>
            <w:tcW w:w="1471" w:type="dxa"/>
            <w:vAlign w:val="center"/>
          </w:tcPr>
          <w:p w14:paraId="354DC476">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default" w:eastAsia="宋体"/>
                <w:color w:val="auto"/>
                <w:sz w:val="24"/>
                <w:szCs w:val="24"/>
                <w:highlight w:val="none"/>
                <w:lang w:val="en-US" w:eastAsia="zh-CN"/>
              </w:rPr>
            </w:pPr>
            <w:r>
              <w:rPr>
                <w:rFonts w:hint="eastAsia" w:cs="宋体"/>
                <w:color w:val="auto"/>
                <w:sz w:val="24"/>
                <w:szCs w:val="24"/>
                <w:highlight w:val="none"/>
                <w:lang w:val="en-US" w:eastAsia="zh-CN"/>
              </w:rPr>
              <w:t>600000.00</w:t>
            </w:r>
          </w:p>
        </w:tc>
        <w:tc>
          <w:tcPr>
            <w:tcW w:w="1471" w:type="dxa"/>
            <w:vAlign w:val="center"/>
          </w:tcPr>
          <w:p w14:paraId="7DF288DE">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是</w:t>
            </w:r>
          </w:p>
        </w:tc>
        <w:tc>
          <w:tcPr>
            <w:tcW w:w="1471" w:type="dxa"/>
            <w:vAlign w:val="center"/>
          </w:tcPr>
          <w:p w14:paraId="04559944">
            <w:pPr>
              <w:pStyle w:val="2"/>
              <w:keepNext w:val="0"/>
              <w:keepLines w:val="0"/>
              <w:pageBreakBefore w:val="0"/>
              <w:widowControl w:val="0"/>
              <w:kinsoku/>
              <w:wordWrap/>
              <w:overflowPunct/>
              <w:topLinePunct w:val="0"/>
              <w:autoSpaceDE/>
              <w:autoSpaceDN/>
              <w:bidi w:val="0"/>
              <w:spacing w:after="0" w:line="500" w:lineRule="exact"/>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600000</w:t>
            </w:r>
          </w:p>
        </w:tc>
      </w:tr>
    </w:tbl>
    <w:p w14:paraId="16611ED3">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采购需求</w:t>
      </w:r>
      <w:r>
        <w:rPr>
          <w:rFonts w:hint="eastAsia" w:cs="宋体"/>
          <w:color w:val="auto"/>
          <w:sz w:val="24"/>
          <w:szCs w:val="24"/>
          <w:highlight w:val="none"/>
          <w:lang w:eastAsia="zh-CN"/>
        </w:rPr>
        <w:t>：</w:t>
      </w:r>
    </w:p>
    <w:p w14:paraId="71B64A36">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lang w:val="zh-CN"/>
        </w:rPr>
      </w:pPr>
      <w:bookmarkStart w:id="5" w:name="OLE_LINK5"/>
      <w:r>
        <w:rPr>
          <w:rFonts w:hint="eastAsia" w:ascii="宋体" w:hAnsi="宋体" w:cs="宋体"/>
          <w:color w:val="auto"/>
          <w:kern w:val="0"/>
          <w:sz w:val="24"/>
          <w:szCs w:val="24"/>
          <w:lang w:bidi="zh-CN"/>
        </w:rPr>
        <w:t xml:space="preserve">5.1 </w:t>
      </w:r>
      <w:r>
        <w:rPr>
          <w:rFonts w:hint="eastAsia" w:cs="宋体"/>
          <w:color w:val="auto"/>
          <w:kern w:val="0"/>
          <w:sz w:val="24"/>
          <w:szCs w:val="24"/>
          <w:lang w:val="en-US" w:bidi="zh-CN"/>
        </w:rPr>
        <w:t>采购内容</w:t>
      </w:r>
      <w:r>
        <w:rPr>
          <w:rFonts w:hint="eastAsia" w:ascii="宋体" w:hAnsi="宋体" w:cs="宋体"/>
          <w:color w:val="auto"/>
          <w:kern w:val="0"/>
          <w:sz w:val="24"/>
          <w:szCs w:val="24"/>
          <w:lang w:val="zh-CN" w:bidi="zh-CN"/>
        </w:rPr>
        <w:t>：</w:t>
      </w:r>
      <w:bookmarkStart w:id="6" w:name="OLE_LINK4"/>
      <w:r>
        <w:rPr>
          <w:rFonts w:hint="eastAsia" w:ascii="宋体" w:hAnsi="宋体" w:cs="宋体"/>
          <w:color w:val="auto"/>
          <w:kern w:val="0"/>
          <w:sz w:val="24"/>
          <w:szCs w:val="24"/>
          <w:lang w:val="zh-CN" w:bidi="zh-CN"/>
        </w:rPr>
        <w:t>本项目为郑州市自然资源和规划局高新分局不动产交易和登记中心202</w:t>
      </w:r>
      <w:r>
        <w:rPr>
          <w:rFonts w:hint="eastAsia" w:ascii="宋体" w:hAnsi="宋体" w:cs="宋体"/>
          <w:color w:val="auto"/>
          <w:kern w:val="0"/>
          <w:sz w:val="24"/>
          <w:szCs w:val="24"/>
          <w:lang w:val="en-US" w:bidi="zh-CN"/>
        </w:rPr>
        <w:t>4</w:t>
      </w:r>
      <w:r>
        <w:rPr>
          <w:rFonts w:hint="eastAsia" w:ascii="宋体" w:hAnsi="宋体" w:cs="宋体"/>
          <w:color w:val="auto"/>
          <w:kern w:val="0"/>
          <w:sz w:val="24"/>
          <w:szCs w:val="24"/>
          <w:lang w:val="zh-CN" w:bidi="zh-CN"/>
        </w:rPr>
        <w:t>-202</w:t>
      </w:r>
      <w:r>
        <w:rPr>
          <w:rFonts w:hint="eastAsia" w:ascii="宋体" w:hAnsi="宋体" w:cs="宋体"/>
          <w:color w:val="auto"/>
          <w:kern w:val="0"/>
          <w:sz w:val="24"/>
          <w:szCs w:val="24"/>
          <w:lang w:val="en-US" w:bidi="zh-CN"/>
        </w:rPr>
        <w:t>6</w:t>
      </w:r>
      <w:r>
        <w:rPr>
          <w:rFonts w:hint="eastAsia" w:ascii="宋体" w:hAnsi="宋体" w:cs="宋体"/>
          <w:color w:val="auto"/>
          <w:kern w:val="0"/>
          <w:sz w:val="24"/>
          <w:szCs w:val="24"/>
          <w:lang w:val="zh-CN" w:bidi="zh-CN"/>
        </w:rPr>
        <w:t>年度产生各类业务档案（纸质及电子）等文件进场档案管理，包括文件资料的排序和编写页码、卷内文件目录和备考表的编制、纸质档案的数字化、封皮和档案盒的编制、档案的</w:t>
      </w:r>
      <w:r>
        <w:rPr>
          <w:rFonts w:hint="eastAsia" w:cs="宋体"/>
          <w:color w:val="auto"/>
          <w:sz w:val="24"/>
          <w:szCs w:val="24"/>
          <w:highlight w:val="none"/>
          <w:lang w:val="zh-CN"/>
        </w:rPr>
        <w:t>装订和入库排列以及上架等内容</w:t>
      </w:r>
      <w:r>
        <w:rPr>
          <w:rFonts w:hint="eastAsia" w:cs="宋体"/>
          <w:color w:val="auto"/>
          <w:sz w:val="24"/>
          <w:szCs w:val="24"/>
          <w:highlight w:val="none"/>
          <w:lang w:val="en-US" w:eastAsia="zh-CN"/>
        </w:rPr>
        <w:t>，</w:t>
      </w:r>
      <w:r>
        <w:rPr>
          <w:rFonts w:hint="eastAsia" w:cs="宋体"/>
          <w:color w:val="auto"/>
          <w:sz w:val="24"/>
          <w:szCs w:val="24"/>
          <w:highlight w:val="none"/>
          <w:lang w:val="zh-CN"/>
        </w:rPr>
        <w:t>具体数量以郑州市自然资源和规划局高新分局不动产登记和房地产交易中心核定为准</w:t>
      </w:r>
      <w:bookmarkEnd w:id="6"/>
      <w:r>
        <w:rPr>
          <w:rFonts w:hint="eastAsia" w:cs="宋体"/>
          <w:color w:val="auto"/>
          <w:sz w:val="24"/>
          <w:szCs w:val="24"/>
          <w:highlight w:val="none"/>
          <w:lang w:val="zh-CN"/>
        </w:rPr>
        <w:t>。</w:t>
      </w:r>
    </w:p>
    <w:p w14:paraId="0FA3B810">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5.2 包段划分：1个包段；</w:t>
      </w:r>
    </w:p>
    <w:p w14:paraId="208DB11C">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5.3 质量要求：合格，通过主管部门验收；</w:t>
      </w:r>
    </w:p>
    <w:p w14:paraId="712642F2">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lang w:val="en-US"/>
        </w:rPr>
        <w:t>4</w:t>
      </w:r>
      <w:r>
        <w:rPr>
          <w:rFonts w:hint="eastAsia" w:cs="宋体"/>
          <w:color w:val="auto"/>
          <w:sz w:val="24"/>
          <w:szCs w:val="24"/>
          <w:highlight w:val="none"/>
        </w:rPr>
        <w:t xml:space="preserve"> 服务地点：</w:t>
      </w:r>
      <w:r>
        <w:rPr>
          <w:rFonts w:hint="eastAsia" w:cs="宋体"/>
          <w:color w:val="auto"/>
          <w:sz w:val="24"/>
          <w:szCs w:val="24"/>
          <w:highlight w:val="none"/>
          <w:lang w:val="en-US"/>
        </w:rPr>
        <w:t>采购人</w:t>
      </w:r>
      <w:r>
        <w:rPr>
          <w:rFonts w:hint="eastAsia" w:cs="宋体"/>
          <w:color w:val="auto"/>
          <w:sz w:val="24"/>
          <w:szCs w:val="24"/>
          <w:highlight w:val="none"/>
        </w:rPr>
        <w:t>指定地点</w:t>
      </w:r>
    </w:p>
    <w:p w14:paraId="230159D5">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5.5 </w:t>
      </w:r>
      <w:r>
        <w:rPr>
          <w:rFonts w:hint="eastAsia" w:cs="宋体"/>
          <w:color w:val="auto"/>
          <w:sz w:val="24"/>
          <w:szCs w:val="24"/>
          <w:highlight w:val="none"/>
        </w:rPr>
        <w:t>服务期限：</w:t>
      </w:r>
      <w:r>
        <w:rPr>
          <w:rFonts w:hint="eastAsia" w:cs="宋体"/>
          <w:color w:val="auto"/>
          <w:sz w:val="24"/>
          <w:szCs w:val="24"/>
          <w:highlight w:val="none"/>
          <w:lang w:eastAsia="zh-CN"/>
        </w:rPr>
        <w:t>自合同签订之日起</w:t>
      </w:r>
      <w:r>
        <w:rPr>
          <w:rFonts w:hint="eastAsia" w:cs="宋体"/>
          <w:color w:val="auto"/>
          <w:sz w:val="24"/>
          <w:szCs w:val="24"/>
          <w:highlight w:val="none"/>
          <w:lang w:val="en-US" w:eastAsia="zh-CN"/>
        </w:rPr>
        <w:t>一</w:t>
      </w:r>
      <w:r>
        <w:rPr>
          <w:rFonts w:hint="eastAsia" w:cs="宋体"/>
          <w:color w:val="auto"/>
          <w:sz w:val="24"/>
          <w:szCs w:val="24"/>
          <w:highlight w:val="none"/>
          <w:lang w:eastAsia="zh-CN"/>
        </w:rPr>
        <w:t>年（</w:t>
      </w:r>
      <w:r>
        <w:rPr>
          <w:rFonts w:hint="eastAsia" w:cs="宋体"/>
          <w:color w:val="auto"/>
          <w:sz w:val="24"/>
          <w:szCs w:val="24"/>
          <w:highlight w:val="none"/>
          <w:lang w:val="en-US" w:eastAsia="zh-CN"/>
        </w:rPr>
        <w:t>经采购人考核合格，可续签下一年度合同，最多续签两年</w:t>
      </w:r>
      <w:r>
        <w:rPr>
          <w:rFonts w:hint="eastAsia" w:cs="宋体"/>
          <w:color w:val="auto"/>
          <w:sz w:val="24"/>
          <w:szCs w:val="24"/>
          <w:highlight w:val="none"/>
          <w:lang w:eastAsia="zh-CN"/>
        </w:rPr>
        <w:t>）</w:t>
      </w:r>
    </w:p>
    <w:p w14:paraId="73BFEFF8">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5.6项目预算：600000.00元（本项目第一年预算金额为600000.00元，后续年度金额以财政审批为准）。</w:t>
      </w:r>
    </w:p>
    <w:p w14:paraId="5534746C">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5.7本项目采用单价报价，最高限价（单价）为15.5元/卷。</w:t>
      </w:r>
    </w:p>
    <w:bookmarkEnd w:id="5"/>
    <w:p w14:paraId="7250C7EA">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6、</w:t>
      </w:r>
      <w:bookmarkStart w:id="7" w:name="OLE_LINK1"/>
      <w:r>
        <w:rPr>
          <w:rFonts w:hint="eastAsia" w:cs="宋体"/>
          <w:color w:val="auto"/>
          <w:sz w:val="24"/>
          <w:szCs w:val="24"/>
          <w:highlight w:val="none"/>
          <w:lang w:val="en-US" w:eastAsia="zh-CN"/>
        </w:rPr>
        <w:t>合同履行期限：同服务期限</w:t>
      </w:r>
      <w:bookmarkEnd w:id="7"/>
    </w:p>
    <w:p w14:paraId="5A2D0118">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lang w:val="en-US" w:eastAsia="zh-CN"/>
        </w:rPr>
        <w:t>7、</w:t>
      </w:r>
      <w:r>
        <w:rPr>
          <w:rFonts w:hint="eastAsia" w:cs="宋体"/>
          <w:color w:val="auto"/>
          <w:sz w:val="24"/>
          <w:szCs w:val="24"/>
          <w:highlight w:val="none"/>
        </w:rPr>
        <w:t>本项目是否接受联合体投标：否</w:t>
      </w:r>
    </w:p>
    <w:p w14:paraId="53D352DA">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hint="eastAsia" w:cs="宋体"/>
          <w:color w:val="auto"/>
          <w:sz w:val="24"/>
          <w:szCs w:val="24"/>
          <w:highlight w:val="none"/>
        </w:rPr>
        <w:t>8、是否接受进口产品：否</w:t>
      </w:r>
    </w:p>
    <w:p w14:paraId="4AB5D801">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val="en-US" w:eastAsia="zh-CN"/>
        </w:rPr>
      </w:pPr>
      <w:r>
        <w:rPr>
          <w:rFonts w:cs="宋体"/>
          <w:color w:val="auto"/>
          <w:sz w:val="24"/>
          <w:szCs w:val="24"/>
          <w:highlight w:val="none"/>
        </w:rPr>
        <w:t>9</w:t>
      </w:r>
      <w:r>
        <w:rPr>
          <w:rFonts w:hint="eastAsia" w:cs="宋体"/>
          <w:color w:val="auto"/>
          <w:sz w:val="24"/>
          <w:szCs w:val="24"/>
          <w:highlight w:val="none"/>
        </w:rPr>
        <w:t>、是否为只面向中小企业采购：</w:t>
      </w:r>
      <w:r>
        <w:rPr>
          <w:rFonts w:hint="eastAsia" w:cs="宋体"/>
          <w:color w:val="auto"/>
          <w:sz w:val="24"/>
          <w:szCs w:val="24"/>
          <w:highlight w:val="none"/>
          <w:lang w:val="en-US" w:eastAsia="zh-CN"/>
        </w:rPr>
        <w:t>是</w:t>
      </w:r>
    </w:p>
    <w:p w14:paraId="79E80E07">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二、申请人资格要求</w:t>
      </w:r>
    </w:p>
    <w:p w14:paraId="7465DFEE">
      <w:pPr>
        <w:keepNext w:val="0"/>
        <w:keepLines w:val="0"/>
        <w:pageBreakBefore w:val="0"/>
        <w:tabs>
          <w:tab w:val="left" w:pos="432"/>
        </w:tabs>
        <w:kinsoku/>
        <w:wordWrap/>
        <w:overflowPunct/>
        <w:topLinePunct w:val="0"/>
        <w:autoSpaceDE/>
        <w:autoSpaceDN/>
        <w:bidi w:val="0"/>
        <w:adjustRightInd w:val="0"/>
        <w:snapToGrid w:val="0"/>
        <w:spacing w:after="0" w:line="500" w:lineRule="exact"/>
        <w:ind w:firstLine="480" w:firstLineChars="200"/>
        <w:jc w:val="left"/>
        <w:rPr>
          <w:rFonts w:cs="宋体"/>
          <w:color w:val="auto"/>
          <w:kern w:val="0"/>
          <w:sz w:val="24"/>
          <w:szCs w:val="24"/>
          <w:highlight w:val="none"/>
        </w:rPr>
      </w:pPr>
      <w:r>
        <w:rPr>
          <w:rFonts w:cs="宋体"/>
          <w:color w:val="auto"/>
          <w:kern w:val="0"/>
          <w:sz w:val="24"/>
          <w:szCs w:val="24"/>
          <w:highlight w:val="none"/>
        </w:rPr>
        <w:t>1</w:t>
      </w:r>
      <w:r>
        <w:rPr>
          <w:rFonts w:hint="eastAsia" w:cs="宋体"/>
          <w:color w:val="auto"/>
          <w:kern w:val="0"/>
          <w:sz w:val="24"/>
          <w:szCs w:val="24"/>
          <w:highlight w:val="none"/>
        </w:rPr>
        <w:t>、满足《中华人民共和国政府采购法》第二十二条所规定：</w:t>
      </w:r>
    </w:p>
    <w:p w14:paraId="4AFCF0A9">
      <w:pPr>
        <w:keepNext w:val="0"/>
        <w:keepLines w:val="0"/>
        <w:pageBreakBefore w:val="0"/>
        <w:tabs>
          <w:tab w:val="left" w:pos="432"/>
        </w:tabs>
        <w:kinsoku/>
        <w:wordWrap/>
        <w:overflowPunct/>
        <w:topLinePunct w:val="0"/>
        <w:autoSpaceDE/>
        <w:autoSpaceDN/>
        <w:bidi w:val="0"/>
        <w:adjustRightInd w:val="0"/>
        <w:snapToGrid w:val="0"/>
        <w:spacing w:after="0" w:line="500" w:lineRule="exact"/>
        <w:ind w:firstLine="480" w:firstLineChars="200"/>
        <w:jc w:val="left"/>
        <w:rPr>
          <w:rFonts w:cs="宋体"/>
          <w:color w:val="auto"/>
          <w:kern w:val="0"/>
          <w:sz w:val="24"/>
          <w:szCs w:val="24"/>
          <w:highlight w:val="none"/>
        </w:rPr>
      </w:pPr>
      <w:r>
        <w:rPr>
          <w:rFonts w:cs="宋体"/>
          <w:color w:val="auto"/>
          <w:kern w:val="0"/>
          <w:sz w:val="24"/>
          <w:szCs w:val="24"/>
          <w:highlight w:val="none"/>
        </w:rPr>
        <w:t>2</w:t>
      </w:r>
      <w:r>
        <w:rPr>
          <w:rFonts w:hint="eastAsia" w:cs="宋体"/>
          <w:color w:val="auto"/>
          <w:kern w:val="0"/>
          <w:sz w:val="24"/>
          <w:szCs w:val="24"/>
          <w:highlight w:val="none"/>
        </w:rPr>
        <w:t>、落实政府采购政策满足的资格要求：</w:t>
      </w:r>
    </w:p>
    <w:p w14:paraId="682507DC">
      <w:pPr>
        <w:keepNext w:val="0"/>
        <w:keepLines w:val="0"/>
        <w:pageBreakBefore w:val="0"/>
        <w:tabs>
          <w:tab w:val="left" w:pos="432"/>
        </w:tabs>
        <w:kinsoku/>
        <w:wordWrap/>
        <w:overflowPunct/>
        <w:topLinePunct w:val="0"/>
        <w:autoSpaceDE/>
        <w:autoSpaceDN/>
        <w:bidi w:val="0"/>
        <w:adjustRightInd w:val="0"/>
        <w:snapToGrid w:val="0"/>
        <w:spacing w:after="0" w:line="50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本项目为专门面向小微企业采购，参加本项目的供应商应为小微型企业（监狱企业、残疾人福利性企业视同小微企业）。</w:t>
      </w:r>
    </w:p>
    <w:p w14:paraId="0D213BFE">
      <w:pPr>
        <w:keepNext w:val="0"/>
        <w:keepLines w:val="0"/>
        <w:pageBreakBefore w:val="0"/>
        <w:numPr>
          <w:ilvl w:val="0"/>
          <w:numId w:val="2"/>
        </w:numPr>
        <w:tabs>
          <w:tab w:val="left" w:pos="432"/>
        </w:tabs>
        <w:kinsoku/>
        <w:wordWrap/>
        <w:overflowPunct/>
        <w:topLinePunct w:val="0"/>
        <w:autoSpaceDE/>
        <w:autoSpaceDN/>
        <w:bidi w:val="0"/>
        <w:adjustRightInd w:val="0"/>
        <w:snapToGrid w:val="0"/>
        <w:spacing w:after="0" w:line="50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本项目的特定资格要求：</w:t>
      </w:r>
    </w:p>
    <w:p w14:paraId="628A41A2">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①具有独立承担民事责任的能力；</w:t>
      </w:r>
    </w:p>
    <w:p w14:paraId="696C4C55">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②具有良好的商业信誉和财务状况；</w:t>
      </w:r>
    </w:p>
    <w:p w14:paraId="1576C271">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③有依法缴纳税收和社会保障资金的良好记录；</w:t>
      </w:r>
    </w:p>
    <w:p w14:paraId="0B314AD9">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④具备履行合同所必需的设备和专业技术能力；</w:t>
      </w:r>
    </w:p>
    <w:p w14:paraId="753197CC">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⑤参加政府采购活动前</w:t>
      </w:r>
      <w:r>
        <w:rPr>
          <w:rFonts w:cs="宋体"/>
          <w:color w:val="auto"/>
          <w:sz w:val="24"/>
          <w:szCs w:val="24"/>
          <w:highlight w:val="none"/>
        </w:rPr>
        <w:t>3</w:t>
      </w:r>
      <w:r>
        <w:rPr>
          <w:rFonts w:hint="eastAsia" w:cs="宋体"/>
          <w:color w:val="auto"/>
          <w:sz w:val="24"/>
          <w:szCs w:val="24"/>
          <w:highlight w:val="none"/>
        </w:rPr>
        <w:t>年内在经营活动中没有重大违法记录；</w:t>
      </w:r>
    </w:p>
    <w:p w14:paraId="23D0C827">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⑥根据财政部《关于在政府采购活动中查询及使用信用记录有关问题的通知》（财库〔2016〕125号）要求，对列入失信被执行人、重大税收违法失信主体、政府采购严重违法失信行为记录名单的供应商，拒绝参与本项目采购活动【信用信息查询渠道：“中国执行信息公开网”网站(zxgk.court.gov.cn/shixin/）</w:t>
      </w:r>
      <w:r>
        <w:rPr>
          <w:rFonts w:hint="eastAsia" w:cs="宋体"/>
          <w:color w:val="auto"/>
          <w:sz w:val="24"/>
          <w:szCs w:val="24"/>
          <w:highlight w:val="none"/>
          <w:lang w:val="en-US" w:eastAsia="zh-CN"/>
        </w:rPr>
        <w:t>或</w:t>
      </w:r>
      <w:r>
        <w:rPr>
          <w:rFonts w:hint="eastAsia" w:cs="宋体"/>
          <w:color w:val="auto"/>
          <w:sz w:val="24"/>
          <w:szCs w:val="24"/>
          <w:highlight w:val="none"/>
        </w:rPr>
        <w:t>“信用中国”网站（www.creditchina.gov.cn）和“中国政府采购网”（www.ccgp.gov.cn）】</w:t>
      </w:r>
      <w:r>
        <w:rPr>
          <w:rFonts w:hint="eastAsia" w:cs="宋体"/>
          <w:color w:val="auto"/>
          <w:sz w:val="24"/>
          <w:szCs w:val="24"/>
          <w:highlight w:val="none"/>
          <w:lang w:eastAsia="zh-CN"/>
        </w:rPr>
        <w:t>。</w:t>
      </w:r>
      <w:r>
        <w:rPr>
          <w:rFonts w:hint="eastAsia" w:cs="宋体"/>
          <w:color w:val="auto"/>
          <w:sz w:val="24"/>
          <w:szCs w:val="24"/>
          <w:highlight w:val="none"/>
        </w:rPr>
        <w:t>；</w:t>
      </w:r>
    </w:p>
    <w:p w14:paraId="154075BE">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hint="eastAsia" w:cs="宋体"/>
          <w:color w:val="auto"/>
          <w:sz w:val="24"/>
          <w:szCs w:val="24"/>
          <w:highlight w:val="none"/>
        </w:rPr>
        <w:t>⑦其他要求：单位负责人为同一人或者存在直接控股、管理关系的不同供应商，不得参加同一合同项下的政府采购活动【提供“国家企业信用信息公示系统”中查询的相关材料并加盖公章（查询信息需包含公司基本信息、股东信息及股权变更信息等相关信息）】。</w:t>
      </w:r>
    </w:p>
    <w:p w14:paraId="2C6D6249">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三、获取采购文件</w:t>
      </w:r>
    </w:p>
    <w:p w14:paraId="25A15ECC">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cs="宋体"/>
          <w:b w:val="0"/>
          <w:bCs w:val="0"/>
          <w:color w:val="auto"/>
          <w:sz w:val="24"/>
          <w:szCs w:val="24"/>
          <w:highlight w:val="none"/>
        </w:rPr>
        <w:t>1</w:t>
      </w:r>
      <w:r>
        <w:rPr>
          <w:rFonts w:hint="eastAsia" w:cs="宋体"/>
          <w:b w:val="0"/>
          <w:bCs w:val="0"/>
          <w:color w:val="auto"/>
          <w:sz w:val="24"/>
          <w:szCs w:val="24"/>
          <w:highlight w:val="none"/>
        </w:rPr>
        <w:t>、时间：</w:t>
      </w:r>
      <w:r>
        <w:rPr>
          <w:rFonts w:hint="eastAsia" w:cs="宋体"/>
          <w:b w:val="0"/>
          <w:bCs w:val="0"/>
          <w:color w:val="auto"/>
          <w:sz w:val="24"/>
          <w:szCs w:val="24"/>
          <w:highlight w:val="none"/>
          <w:lang w:val="en-US" w:eastAsia="zh-CN"/>
        </w:rPr>
        <w:t>2024</w:t>
      </w:r>
      <w:r>
        <w:rPr>
          <w:rFonts w:hint="eastAsia" w:cs="宋体"/>
          <w:b w:val="0"/>
          <w:bCs w:val="0"/>
          <w:color w:val="auto"/>
          <w:sz w:val="24"/>
          <w:szCs w:val="24"/>
          <w:highlight w:val="none"/>
        </w:rPr>
        <w:t>年</w:t>
      </w:r>
      <w:r>
        <w:rPr>
          <w:rFonts w:hint="eastAsia" w:cs="宋体"/>
          <w:b w:val="0"/>
          <w:bCs w:val="0"/>
          <w:color w:val="auto"/>
          <w:sz w:val="24"/>
          <w:szCs w:val="24"/>
          <w:highlight w:val="none"/>
          <w:lang w:val="en-US" w:eastAsia="zh-CN"/>
        </w:rPr>
        <w:t>09</w:t>
      </w:r>
      <w:r>
        <w:rPr>
          <w:rFonts w:hint="eastAsia" w:cs="宋体"/>
          <w:b w:val="0"/>
          <w:bCs w:val="0"/>
          <w:color w:val="auto"/>
          <w:sz w:val="24"/>
          <w:szCs w:val="24"/>
          <w:highlight w:val="none"/>
        </w:rPr>
        <w:t>月</w:t>
      </w:r>
      <w:r>
        <w:rPr>
          <w:rFonts w:hint="eastAsia" w:cs="宋体"/>
          <w:b w:val="0"/>
          <w:bCs w:val="0"/>
          <w:color w:val="auto"/>
          <w:sz w:val="24"/>
          <w:szCs w:val="24"/>
          <w:highlight w:val="none"/>
          <w:lang w:val="en-US" w:eastAsia="zh-CN"/>
        </w:rPr>
        <w:t>30</w:t>
      </w:r>
      <w:r>
        <w:rPr>
          <w:rFonts w:hint="eastAsia" w:cs="宋体"/>
          <w:b w:val="0"/>
          <w:bCs w:val="0"/>
          <w:color w:val="auto"/>
          <w:sz w:val="24"/>
          <w:szCs w:val="24"/>
          <w:highlight w:val="none"/>
        </w:rPr>
        <w:t>日至</w:t>
      </w:r>
      <w:r>
        <w:rPr>
          <w:rFonts w:cs="宋体"/>
          <w:b w:val="0"/>
          <w:bCs w:val="0"/>
          <w:color w:val="auto"/>
          <w:sz w:val="24"/>
          <w:szCs w:val="24"/>
          <w:highlight w:val="none"/>
        </w:rPr>
        <w:t>202</w:t>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rPr>
        <w:t>年</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rPr>
        <w:t>月</w:t>
      </w:r>
      <w:r>
        <w:rPr>
          <w:rFonts w:hint="eastAsia" w:cs="宋体"/>
          <w:b w:val="0"/>
          <w:bCs w:val="0"/>
          <w:color w:val="auto"/>
          <w:sz w:val="24"/>
          <w:szCs w:val="24"/>
          <w:highlight w:val="none"/>
          <w:lang w:val="en-US" w:eastAsia="zh-CN"/>
        </w:rPr>
        <w:t>11</w:t>
      </w:r>
      <w:r>
        <w:rPr>
          <w:rFonts w:hint="eastAsia" w:cs="宋体"/>
          <w:b w:val="0"/>
          <w:bCs w:val="0"/>
          <w:color w:val="auto"/>
          <w:sz w:val="24"/>
          <w:szCs w:val="24"/>
          <w:highlight w:val="none"/>
        </w:rPr>
        <w:t>日。每</w:t>
      </w:r>
      <w:r>
        <w:rPr>
          <w:rFonts w:hint="eastAsia" w:cs="宋体"/>
          <w:color w:val="auto"/>
          <w:sz w:val="24"/>
          <w:szCs w:val="24"/>
          <w:highlight w:val="none"/>
        </w:rPr>
        <w:t>天上午</w:t>
      </w:r>
      <w:r>
        <w:rPr>
          <w:rFonts w:hint="eastAsia" w:cs="宋体"/>
          <w:color w:val="auto"/>
          <w:sz w:val="24"/>
          <w:szCs w:val="24"/>
          <w:highlight w:val="none"/>
          <w:lang w:val="en-US" w:eastAsia="zh-CN"/>
        </w:rPr>
        <w:t>00</w:t>
      </w:r>
      <w:r>
        <w:rPr>
          <w:rFonts w:cs="宋体"/>
          <w:color w:val="auto"/>
          <w:sz w:val="24"/>
          <w:szCs w:val="24"/>
          <w:highlight w:val="none"/>
        </w:rPr>
        <w:t>:</w:t>
      </w:r>
      <w:r>
        <w:rPr>
          <w:rFonts w:hint="eastAsia" w:cs="宋体"/>
          <w:color w:val="auto"/>
          <w:sz w:val="24"/>
          <w:szCs w:val="24"/>
          <w:highlight w:val="none"/>
          <w:lang w:val="en-US" w:eastAsia="zh-CN"/>
        </w:rPr>
        <w:t>0</w:t>
      </w:r>
      <w:r>
        <w:rPr>
          <w:rFonts w:cs="宋体"/>
          <w:color w:val="auto"/>
          <w:sz w:val="24"/>
          <w:szCs w:val="24"/>
          <w:highlight w:val="none"/>
        </w:rPr>
        <w:t>0</w:t>
      </w:r>
      <w:r>
        <w:rPr>
          <w:rFonts w:hint="eastAsia" w:cs="宋体"/>
          <w:color w:val="auto"/>
          <w:sz w:val="24"/>
          <w:szCs w:val="24"/>
          <w:highlight w:val="none"/>
        </w:rPr>
        <w:t>至</w:t>
      </w:r>
      <w:r>
        <w:rPr>
          <w:rFonts w:cs="宋体"/>
          <w:color w:val="auto"/>
          <w:sz w:val="24"/>
          <w:szCs w:val="24"/>
          <w:highlight w:val="none"/>
        </w:rPr>
        <w:t>12:00,</w:t>
      </w:r>
      <w:r>
        <w:rPr>
          <w:rFonts w:hint="eastAsia" w:cs="宋体"/>
          <w:color w:val="auto"/>
          <w:sz w:val="24"/>
          <w:szCs w:val="24"/>
          <w:highlight w:val="none"/>
        </w:rPr>
        <w:t>下午</w:t>
      </w:r>
      <w:r>
        <w:rPr>
          <w:rFonts w:hint="eastAsia" w:cs="宋体"/>
          <w:color w:val="auto"/>
          <w:sz w:val="24"/>
          <w:szCs w:val="24"/>
          <w:highlight w:val="none"/>
          <w:lang w:val="en-US" w:eastAsia="zh-CN"/>
        </w:rPr>
        <w:t>12</w:t>
      </w:r>
      <w:r>
        <w:rPr>
          <w:rFonts w:cs="宋体"/>
          <w:color w:val="auto"/>
          <w:sz w:val="24"/>
          <w:szCs w:val="24"/>
          <w:highlight w:val="none"/>
        </w:rPr>
        <w:t>:</w:t>
      </w:r>
      <w:r>
        <w:rPr>
          <w:rFonts w:hint="eastAsia" w:cs="宋体"/>
          <w:color w:val="auto"/>
          <w:sz w:val="24"/>
          <w:szCs w:val="24"/>
          <w:highlight w:val="none"/>
          <w:lang w:val="en-US" w:eastAsia="zh-CN"/>
        </w:rPr>
        <w:t>0</w:t>
      </w:r>
      <w:r>
        <w:rPr>
          <w:rFonts w:cs="宋体"/>
          <w:color w:val="auto"/>
          <w:sz w:val="24"/>
          <w:szCs w:val="24"/>
          <w:highlight w:val="none"/>
        </w:rPr>
        <w:t>0</w:t>
      </w:r>
      <w:r>
        <w:rPr>
          <w:rFonts w:hint="eastAsia" w:cs="宋体"/>
          <w:color w:val="auto"/>
          <w:sz w:val="24"/>
          <w:szCs w:val="24"/>
          <w:highlight w:val="none"/>
        </w:rPr>
        <w:t>至</w:t>
      </w:r>
      <w:r>
        <w:rPr>
          <w:rFonts w:hint="eastAsia" w:cs="宋体"/>
          <w:color w:val="auto"/>
          <w:sz w:val="24"/>
          <w:szCs w:val="24"/>
          <w:highlight w:val="none"/>
          <w:lang w:val="en-US" w:eastAsia="zh-CN"/>
        </w:rPr>
        <w:t>23</w:t>
      </w:r>
      <w:r>
        <w:rPr>
          <w:rFonts w:cs="宋体"/>
          <w:color w:val="auto"/>
          <w:sz w:val="24"/>
          <w:szCs w:val="24"/>
          <w:highlight w:val="none"/>
        </w:rPr>
        <w:t>:</w:t>
      </w:r>
      <w:r>
        <w:rPr>
          <w:rFonts w:hint="eastAsia" w:cs="宋体"/>
          <w:color w:val="auto"/>
          <w:sz w:val="24"/>
          <w:szCs w:val="24"/>
          <w:highlight w:val="none"/>
          <w:lang w:val="en-US" w:eastAsia="zh-CN"/>
        </w:rPr>
        <w:t>59</w:t>
      </w:r>
      <w:r>
        <w:rPr>
          <w:rFonts w:hint="eastAsia" w:cs="宋体"/>
          <w:color w:val="auto"/>
          <w:sz w:val="24"/>
          <w:szCs w:val="24"/>
          <w:highlight w:val="none"/>
        </w:rPr>
        <w:t>（北京时间，法定节假日除外</w:t>
      </w:r>
      <w:r>
        <w:rPr>
          <w:rFonts w:cs="宋体"/>
          <w:color w:val="auto"/>
          <w:sz w:val="24"/>
          <w:szCs w:val="24"/>
          <w:highlight w:val="none"/>
        </w:rPr>
        <w:t>)</w:t>
      </w:r>
      <w:r>
        <w:rPr>
          <w:rFonts w:hint="eastAsia" w:cs="宋体"/>
          <w:color w:val="auto"/>
          <w:sz w:val="24"/>
          <w:szCs w:val="24"/>
          <w:highlight w:val="none"/>
        </w:rPr>
        <w:t>。</w:t>
      </w:r>
    </w:p>
    <w:p w14:paraId="26F75AD1">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cs="宋体"/>
          <w:color w:val="auto"/>
          <w:sz w:val="24"/>
          <w:szCs w:val="24"/>
          <w:highlight w:val="none"/>
        </w:rPr>
        <w:t>2</w:t>
      </w:r>
      <w:r>
        <w:rPr>
          <w:rFonts w:hint="eastAsia" w:cs="宋体"/>
          <w:color w:val="auto"/>
          <w:sz w:val="24"/>
          <w:szCs w:val="24"/>
          <w:highlight w:val="none"/>
        </w:rPr>
        <w:t>、地点：郑州市公共资源交易中心网站（http://zzggzy.zhengzhou.gov.cn/），点击“交易主体登陆”进入电子招投标交易平台下载所含格式（</w:t>
      </w:r>
      <w:r>
        <w:rPr>
          <w:rFonts w:cs="宋体"/>
          <w:color w:val="auto"/>
          <w:sz w:val="24"/>
          <w:szCs w:val="24"/>
          <w:highlight w:val="none"/>
        </w:rPr>
        <w:t>*.ZZZF</w:t>
      </w:r>
      <w:r>
        <w:rPr>
          <w:rFonts w:hint="eastAsia" w:cs="宋体"/>
          <w:color w:val="auto"/>
          <w:sz w:val="24"/>
          <w:szCs w:val="24"/>
          <w:highlight w:val="none"/>
        </w:rPr>
        <w:t>格式）的竞争性磋商文件及资料。供应商未按规定在网上下载招标文件的，其响应文件将被拒绝；</w:t>
      </w:r>
    </w:p>
    <w:p w14:paraId="745AA729">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cs="宋体"/>
          <w:color w:val="auto"/>
          <w:sz w:val="24"/>
          <w:szCs w:val="24"/>
          <w:highlight w:val="none"/>
        </w:rPr>
        <w:t>3</w:t>
      </w:r>
      <w:r>
        <w:rPr>
          <w:rFonts w:hint="eastAsia" w:cs="宋体"/>
          <w:color w:val="auto"/>
          <w:sz w:val="24"/>
          <w:szCs w:val="24"/>
          <w:highlight w:val="none"/>
        </w:rPr>
        <w:t>、方式：按照郑州市公共资源交易中心要求，供应商须注册成为郑州市公共资源交易中心网站会员并取得</w:t>
      </w:r>
      <w:r>
        <w:rPr>
          <w:rFonts w:cs="宋体"/>
          <w:color w:val="auto"/>
          <w:sz w:val="24"/>
          <w:szCs w:val="24"/>
          <w:highlight w:val="none"/>
        </w:rPr>
        <w:t>CA</w:t>
      </w:r>
      <w:r>
        <w:rPr>
          <w:rFonts w:hint="eastAsia" w:cs="宋体"/>
          <w:color w:val="auto"/>
          <w:sz w:val="24"/>
          <w:szCs w:val="24"/>
          <w:highlight w:val="none"/>
        </w:rPr>
        <w:t>密钥后，才能通过公共资源交易平台参与交易活动，尚未办理企业</w:t>
      </w:r>
      <w:r>
        <w:rPr>
          <w:rFonts w:cs="宋体"/>
          <w:color w:val="auto"/>
          <w:sz w:val="24"/>
          <w:szCs w:val="24"/>
          <w:highlight w:val="none"/>
        </w:rPr>
        <w:t>CA</w:t>
      </w:r>
      <w:r>
        <w:rPr>
          <w:rFonts w:hint="eastAsia" w:cs="宋体"/>
          <w:color w:val="auto"/>
          <w:sz w:val="24"/>
          <w:szCs w:val="24"/>
          <w:highlight w:val="none"/>
        </w:rPr>
        <w:t>锁的，河南省信息化发展有限公司开通了</w:t>
      </w:r>
      <w:r>
        <w:rPr>
          <w:rFonts w:cs="宋体"/>
          <w:color w:val="auto"/>
          <w:sz w:val="24"/>
          <w:szCs w:val="24"/>
          <w:highlight w:val="none"/>
        </w:rPr>
        <w:t>CA</w:t>
      </w:r>
      <w:r>
        <w:rPr>
          <w:rFonts w:hint="eastAsia" w:cs="宋体"/>
          <w:color w:val="auto"/>
          <w:sz w:val="24"/>
          <w:szCs w:val="24"/>
          <w:highlight w:val="none"/>
        </w:rPr>
        <w:t>数字证书在线办理功能，郑州市公共资源交易中心各交易主体如需办理</w:t>
      </w:r>
      <w:r>
        <w:rPr>
          <w:rFonts w:cs="宋体"/>
          <w:color w:val="auto"/>
          <w:sz w:val="24"/>
          <w:szCs w:val="24"/>
          <w:highlight w:val="none"/>
        </w:rPr>
        <w:t>CA</w:t>
      </w:r>
      <w:r>
        <w:rPr>
          <w:rFonts w:hint="eastAsia" w:cs="宋体"/>
          <w:color w:val="auto"/>
          <w:sz w:val="24"/>
          <w:szCs w:val="24"/>
          <w:highlight w:val="none"/>
        </w:rPr>
        <w:t>数字证书业务的，可通过以下链接：（</w:t>
      </w:r>
      <w:r>
        <w:rPr>
          <w:rFonts w:cs="宋体"/>
          <w:color w:val="auto"/>
          <w:sz w:val="24"/>
          <w:szCs w:val="24"/>
          <w:highlight w:val="none"/>
        </w:rPr>
        <w:t>http://xaca.hnxaca.com:8081/online/ggzyApply/index.shtml</w:t>
      </w:r>
      <w:r>
        <w:rPr>
          <w:rFonts w:hint="eastAsia" w:cs="宋体"/>
          <w:color w:val="auto"/>
          <w:sz w:val="24"/>
          <w:szCs w:val="24"/>
          <w:highlight w:val="none"/>
        </w:rPr>
        <w:t>）在线办理。客服电话</w:t>
      </w:r>
      <w:r>
        <w:rPr>
          <w:rFonts w:cs="宋体"/>
          <w:color w:val="auto"/>
          <w:sz w:val="24"/>
          <w:szCs w:val="24"/>
          <w:highlight w:val="none"/>
        </w:rPr>
        <w:t>0371-96596</w:t>
      </w:r>
      <w:r>
        <w:rPr>
          <w:rFonts w:hint="eastAsia" w:cs="宋体"/>
          <w:color w:val="auto"/>
          <w:sz w:val="24"/>
          <w:szCs w:val="24"/>
          <w:highlight w:val="none"/>
        </w:rPr>
        <w:t>，技术咨询电话</w:t>
      </w:r>
      <w:r>
        <w:rPr>
          <w:rFonts w:cs="宋体"/>
          <w:color w:val="auto"/>
          <w:sz w:val="24"/>
          <w:szCs w:val="24"/>
          <w:highlight w:val="none"/>
        </w:rPr>
        <w:t>:0371-67188807,4009980000</w:t>
      </w:r>
      <w:r>
        <w:rPr>
          <w:rFonts w:hint="eastAsia" w:cs="宋体"/>
          <w:color w:val="auto"/>
          <w:sz w:val="24"/>
          <w:szCs w:val="24"/>
          <w:highlight w:val="none"/>
        </w:rPr>
        <w:t>。</w:t>
      </w:r>
    </w:p>
    <w:p w14:paraId="48A1423D">
      <w:pPr>
        <w:keepNext w:val="0"/>
        <w:keepLines w:val="0"/>
        <w:pageBreakBefore w:val="0"/>
        <w:kinsoku/>
        <w:wordWrap/>
        <w:overflowPunct/>
        <w:topLinePunct w:val="0"/>
        <w:autoSpaceDE/>
        <w:autoSpaceDN/>
        <w:bidi w:val="0"/>
        <w:spacing w:after="0" w:line="500" w:lineRule="exact"/>
        <w:ind w:firstLine="480" w:firstLineChars="200"/>
        <w:rPr>
          <w:rFonts w:cs="宋体"/>
          <w:color w:val="auto"/>
          <w:sz w:val="24"/>
          <w:szCs w:val="24"/>
          <w:highlight w:val="none"/>
        </w:rPr>
      </w:pPr>
      <w:r>
        <w:rPr>
          <w:rFonts w:cs="宋体"/>
          <w:color w:val="auto"/>
          <w:sz w:val="24"/>
          <w:szCs w:val="24"/>
          <w:highlight w:val="none"/>
        </w:rPr>
        <w:t>4</w:t>
      </w:r>
      <w:r>
        <w:rPr>
          <w:rFonts w:hint="eastAsia" w:cs="宋体"/>
          <w:color w:val="auto"/>
          <w:sz w:val="24"/>
          <w:szCs w:val="24"/>
          <w:highlight w:val="none"/>
        </w:rPr>
        <w:t>、售价：</w:t>
      </w:r>
      <w:r>
        <w:rPr>
          <w:rFonts w:cs="宋体"/>
          <w:color w:val="auto"/>
          <w:sz w:val="24"/>
          <w:szCs w:val="24"/>
          <w:highlight w:val="none"/>
        </w:rPr>
        <w:t>0</w:t>
      </w:r>
      <w:r>
        <w:rPr>
          <w:rFonts w:hint="eastAsia" w:cs="宋体"/>
          <w:color w:val="auto"/>
          <w:sz w:val="24"/>
          <w:szCs w:val="24"/>
          <w:highlight w:val="none"/>
        </w:rPr>
        <w:t>元。</w:t>
      </w:r>
    </w:p>
    <w:p w14:paraId="706F43FB">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四、响应文件提交</w:t>
      </w:r>
    </w:p>
    <w:p w14:paraId="39B11DEC">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1</w:t>
      </w:r>
      <w:r>
        <w:rPr>
          <w:rFonts w:hint="eastAsia" w:cs="宋体"/>
          <w:color w:val="auto"/>
          <w:sz w:val="24"/>
          <w:szCs w:val="24"/>
          <w:highlight w:val="none"/>
        </w:rPr>
        <w:t>、时间</w:t>
      </w:r>
      <w:r>
        <w:rPr>
          <w:rFonts w:hint="eastAsia" w:cs="宋体"/>
          <w:b w:val="0"/>
          <w:bCs w:val="0"/>
          <w:color w:val="auto"/>
          <w:sz w:val="24"/>
          <w:szCs w:val="24"/>
          <w:highlight w:val="none"/>
        </w:rPr>
        <w:t>：</w:t>
      </w:r>
      <w:r>
        <w:rPr>
          <w:rFonts w:hint="eastAsia" w:cs="宋体"/>
          <w:b w:val="0"/>
          <w:bCs w:val="0"/>
          <w:color w:val="auto"/>
          <w:sz w:val="24"/>
          <w:szCs w:val="24"/>
          <w:highlight w:val="none"/>
          <w:lang w:eastAsia="zh-CN"/>
        </w:rPr>
        <w:t>202</w:t>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lang w:eastAsia="zh-CN"/>
        </w:rPr>
        <w:t>年</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lang w:eastAsia="zh-CN"/>
        </w:rPr>
        <w:t>月</w:t>
      </w:r>
      <w:r>
        <w:rPr>
          <w:rFonts w:hint="eastAsia" w:cs="宋体"/>
          <w:b w:val="0"/>
          <w:bCs w:val="0"/>
          <w:color w:val="auto"/>
          <w:sz w:val="24"/>
          <w:szCs w:val="24"/>
          <w:highlight w:val="none"/>
          <w:lang w:val="en-US" w:eastAsia="zh-CN"/>
        </w:rPr>
        <w:t>16</w:t>
      </w:r>
      <w:r>
        <w:rPr>
          <w:rFonts w:hint="eastAsia" w:cs="宋体"/>
          <w:b w:val="0"/>
          <w:bCs w:val="0"/>
          <w:color w:val="auto"/>
          <w:sz w:val="24"/>
          <w:szCs w:val="24"/>
          <w:highlight w:val="none"/>
          <w:lang w:eastAsia="zh-CN"/>
        </w:rPr>
        <w:t>日</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lang w:eastAsia="zh-CN"/>
        </w:rPr>
        <w:t>时</w:t>
      </w:r>
      <w:r>
        <w:rPr>
          <w:rFonts w:hint="eastAsia" w:cs="宋体"/>
          <w:b w:val="0"/>
          <w:bCs w:val="0"/>
          <w:color w:val="auto"/>
          <w:sz w:val="24"/>
          <w:szCs w:val="24"/>
          <w:highlight w:val="none"/>
          <w:lang w:val="en-US" w:eastAsia="zh-CN"/>
        </w:rPr>
        <w:t>00</w:t>
      </w:r>
      <w:r>
        <w:rPr>
          <w:rFonts w:hint="eastAsia" w:cs="宋体"/>
          <w:b w:val="0"/>
          <w:bCs w:val="0"/>
          <w:color w:val="auto"/>
          <w:sz w:val="24"/>
          <w:szCs w:val="24"/>
          <w:highlight w:val="none"/>
          <w:lang w:eastAsia="zh-CN"/>
        </w:rPr>
        <w:t>分</w:t>
      </w:r>
      <w:r>
        <w:rPr>
          <w:rFonts w:hint="eastAsia" w:cs="宋体"/>
          <w:b w:val="0"/>
          <w:bCs w:val="0"/>
          <w:color w:val="auto"/>
          <w:sz w:val="24"/>
          <w:szCs w:val="24"/>
          <w:highlight w:val="none"/>
        </w:rPr>
        <w:t>（北</w:t>
      </w:r>
      <w:r>
        <w:rPr>
          <w:rFonts w:hint="eastAsia" w:cs="宋体"/>
          <w:color w:val="auto"/>
          <w:sz w:val="24"/>
          <w:szCs w:val="24"/>
          <w:highlight w:val="none"/>
        </w:rPr>
        <w:t>京时间）</w:t>
      </w:r>
    </w:p>
    <w:p w14:paraId="3593A653">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2</w:t>
      </w:r>
      <w:r>
        <w:rPr>
          <w:rFonts w:hint="eastAsia" w:cs="宋体"/>
          <w:color w:val="auto"/>
          <w:sz w:val="24"/>
          <w:szCs w:val="24"/>
          <w:highlight w:val="none"/>
        </w:rPr>
        <w:t>、地点：郑州市公共资源交易中心（http://zzggzy.zhengzhou.gov.cn/）电子交易平台</w:t>
      </w:r>
    </w:p>
    <w:p w14:paraId="791AD703">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五、响应文件开启</w:t>
      </w:r>
    </w:p>
    <w:p w14:paraId="3041E15F">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1</w:t>
      </w:r>
      <w:r>
        <w:rPr>
          <w:rFonts w:hint="eastAsia" w:cs="宋体"/>
          <w:color w:val="auto"/>
          <w:sz w:val="24"/>
          <w:szCs w:val="24"/>
          <w:highlight w:val="none"/>
        </w:rPr>
        <w:t>、时</w:t>
      </w:r>
      <w:r>
        <w:rPr>
          <w:rFonts w:hint="eastAsia" w:cs="宋体"/>
          <w:b w:val="0"/>
          <w:bCs w:val="0"/>
          <w:color w:val="auto"/>
          <w:sz w:val="24"/>
          <w:szCs w:val="24"/>
          <w:highlight w:val="none"/>
        </w:rPr>
        <w:t>间：</w:t>
      </w:r>
      <w:r>
        <w:rPr>
          <w:rFonts w:hint="eastAsia" w:cs="宋体"/>
          <w:b w:val="0"/>
          <w:bCs w:val="0"/>
          <w:color w:val="auto"/>
          <w:sz w:val="24"/>
          <w:szCs w:val="24"/>
          <w:highlight w:val="none"/>
          <w:lang w:eastAsia="zh-CN"/>
        </w:rPr>
        <w:t>202</w:t>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lang w:eastAsia="zh-CN"/>
        </w:rPr>
        <w:t>年</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lang w:eastAsia="zh-CN"/>
        </w:rPr>
        <w:t>月</w:t>
      </w:r>
      <w:r>
        <w:rPr>
          <w:rFonts w:hint="eastAsia" w:cs="宋体"/>
          <w:b w:val="0"/>
          <w:bCs w:val="0"/>
          <w:color w:val="auto"/>
          <w:sz w:val="24"/>
          <w:szCs w:val="24"/>
          <w:highlight w:val="none"/>
          <w:lang w:val="en-US" w:eastAsia="zh-CN"/>
        </w:rPr>
        <w:t>16</w:t>
      </w:r>
      <w:r>
        <w:rPr>
          <w:rFonts w:hint="eastAsia" w:cs="宋体"/>
          <w:b w:val="0"/>
          <w:bCs w:val="0"/>
          <w:color w:val="auto"/>
          <w:sz w:val="24"/>
          <w:szCs w:val="24"/>
          <w:highlight w:val="none"/>
          <w:lang w:eastAsia="zh-CN"/>
        </w:rPr>
        <w:t>日</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lang w:eastAsia="zh-CN"/>
        </w:rPr>
        <w:t>时</w:t>
      </w:r>
      <w:r>
        <w:rPr>
          <w:rFonts w:hint="eastAsia" w:cs="宋体"/>
          <w:b w:val="0"/>
          <w:bCs w:val="0"/>
          <w:color w:val="auto"/>
          <w:sz w:val="24"/>
          <w:szCs w:val="24"/>
          <w:highlight w:val="none"/>
          <w:lang w:val="en-US" w:eastAsia="zh-CN"/>
        </w:rPr>
        <w:t>00</w:t>
      </w:r>
      <w:r>
        <w:rPr>
          <w:rFonts w:hint="eastAsia" w:cs="宋体"/>
          <w:b w:val="0"/>
          <w:bCs w:val="0"/>
          <w:color w:val="auto"/>
          <w:sz w:val="24"/>
          <w:szCs w:val="24"/>
          <w:highlight w:val="none"/>
          <w:lang w:eastAsia="zh-CN"/>
        </w:rPr>
        <w:t>分</w:t>
      </w:r>
      <w:r>
        <w:rPr>
          <w:rFonts w:hint="eastAsia" w:cs="宋体"/>
          <w:b w:val="0"/>
          <w:bCs w:val="0"/>
          <w:color w:val="auto"/>
          <w:sz w:val="24"/>
          <w:szCs w:val="24"/>
          <w:highlight w:val="none"/>
        </w:rPr>
        <w:t>（北</w:t>
      </w:r>
      <w:r>
        <w:rPr>
          <w:rFonts w:hint="eastAsia" w:cs="宋体"/>
          <w:color w:val="auto"/>
          <w:sz w:val="24"/>
          <w:szCs w:val="24"/>
          <w:highlight w:val="none"/>
        </w:rPr>
        <w:t>京时间）</w:t>
      </w:r>
    </w:p>
    <w:p w14:paraId="5E231577">
      <w:pPr>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jc w:val="left"/>
        <w:textAlignment w:val="auto"/>
        <w:rPr>
          <w:rFonts w:cs="宋体"/>
          <w:color w:val="auto"/>
          <w:sz w:val="24"/>
          <w:szCs w:val="24"/>
          <w:highlight w:val="none"/>
        </w:rPr>
      </w:pPr>
      <w:r>
        <w:rPr>
          <w:rFonts w:cs="宋体"/>
          <w:color w:val="auto"/>
          <w:sz w:val="24"/>
          <w:szCs w:val="24"/>
          <w:highlight w:val="none"/>
        </w:rPr>
        <w:t>2</w:t>
      </w:r>
      <w:r>
        <w:rPr>
          <w:rFonts w:hint="eastAsia" w:cs="宋体"/>
          <w:color w:val="auto"/>
          <w:sz w:val="24"/>
          <w:szCs w:val="24"/>
          <w:highlight w:val="none"/>
        </w:rPr>
        <w:t>、地点：</w:t>
      </w:r>
      <w:r>
        <w:rPr>
          <w:rFonts w:hint="eastAsia" w:cs="宋体"/>
          <w:color w:val="auto"/>
          <w:kern w:val="0"/>
          <w:sz w:val="24"/>
          <w:szCs w:val="24"/>
          <w:highlight w:val="none"/>
          <w:lang w:val="zh-CN"/>
        </w:rPr>
        <w:t>郑州市公共资源交易中心门户网站远程开标大厅</w:t>
      </w:r>
      <w:r>
        <w:rPr>
          <w:rFonts w:hint="eastAsia" w:cs="宋体"/>
          <w:color w:val="auto"/>
          <w:kern w:val="0"/>
          <w:sz w:val="24"/>
          <w:szCs w:val="24"/>
          <w:highlight w:val="none"/>
        </w:rPr>
        <w:t>（http://zzggzy.zhengzhou.gov.cn/BidOpening）</w:t>
      </w:r>
    </w:p>
    <w:p w14:paraId="73B31F3A">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六、发布公告的媒介及招标公告期限</w:t>
      </w:r>
    </w:p>
    <w:p w14:paraId="74B9EBB1">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hint="eastAsia" w:cs="宋体"/>
          <w:color w:val="auto"/>
          <w:sz w:val="24"/>
          <w:szCs w:val="24"/>
          <w:highlight w:val="none"/>
        </w:rPr>
        <w:t>本次招标公告在《河南省政府采购网》、《郑州市政府采购网》、</w:t>
      </w:r>
      <w:r>
        <w:rPr>
          <w:rFonts w:hint="eastAsia" w:cs="宋体"/>
          <w:color w:val="auto"/>
          <w:sz w:val="24"/>
          <w:szCs w:val="24"/>
          <w:highlight w:val="none"/>
          <w:lang w:eastAsia="zh-CN"/>
        </w:rPr>
        <w:t>《高新区政府采购网》、</w:t>
      </w:r>
      <w:r>
        <w:rPr>
          <w:rFonts w:hint="eastAsia" w:cs="宋体"/>
          <w:color w:val="auto"/>
          <w:sz w:val="24"/>
          <w:szCs w:val="24"/>
          <w:highlight w:val="none"/>
        </w:rPr>
        <w:t>《郑州市公共资源交易中心网》上发布，公告期限为</w:t>
      </w:r>
      <w:r>
        <w:rPr>
          <w:rFonts w:hint="eastAsia" w:cs="宋体"/>
          <w:color w:val="auto"/>
          <w:sz w:val="24"/>
          <w:szCs w:val="24"/>
          <w:highlight w:val="none"/>
          <w:lang w:val="en-US" w:eastAsia="zh-CN"/>
        </w:rPr>
        <w:t>三</w:t>
      </w:r>
      <w:r>
        <w:rPr>
          <w:rFonts w:hint="eastAsia" w:cs="宋体"/>
          <w:color w:val="auto"/>
          <w:sz w:val="24"/>
          <w:szCs w:val="24"/>
          <w:highlight w:val="none"/>
        </w:rPr>
        <w:t>个工作日。</w:t>
      </w:r>
    </w:p>
    <w:p w14:paraId="10C21610">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七、其它补充事宜：无</w:t>
      </w:r>
    </w:p>
    <w:p w14:paraId="33E42913">
      <w:pPr>
        <w:keepNext w:val="0"/>
        <w:keepLines w:val="0"/>
        <w:pageBreakBefore w:val="0"/>
        <w:kinsoku/>
        <w:wordWrap/>
        <w:overflowPunct/>
        <w:topLinePunct w:val="0"/>
        <w:autoSpaceDE/>
        <w:autoSpaceDN/>
        <w:bidi w:val="0"/>
        <w:spacing w:after="0" w:line="500" w:lineRule="exact"/>
        <w:rPr>
          <w:rFonts w:cs="宋体"/>
          <w:b/>
          <w:bCs/>
          <w:color w:val="auto"/>
          <w:sz w:val="24"/>
          <w:szCs w:val="24"/>
          <w:highlight w:val="none"/>
        </w:rPr>
      </w:pPr>
      <w:r>
        <w:rPr>
          <w:rFonts w:hint="eastAsia" w:cs="宋体"/>
          <w:b/>
          <w:bCs/>
          <w:color w:val="auto"/>
          <w:sz w:val="24"/>
          <w:szCs w:val="24"/>
          <w:highlight w:val="none"/>
        </w:rPr>
        <w:t>八、凡对本次招标提出询问，请按照以下方式联系</w:t>
      </w:r>
    </w:p>
    <w:p w14:paraId="5B901C70">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1.</w:t>
      </w:r>
      <w:r>
        <w:rPr>
          <w:rFonts w:hint="eastAsia" w:cs="宋体"/>
          <w:color w:val="auto"/>
          <w:sz w:val="24"/>
          <w:szCs w:val="24"/>
          <w:highlight w:val="none"/>
        </w:rPr>
        <w:t>采购人信息</w:t>
      </w:r>
    </w:p>
    <w:p w14:paraId="0B596F38">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名称：</w:t>
      </w:r>
      <w:r>
        <w:rPr>
          <w:rFonts w:hint="eastAsia" w:cs="宋体"/>
          <w:color w:val="auto"/>
          <w:sz w:val="24"/>
          <w:szCs w:val="24"/>
          <w:highlight w:val="none"/>
          <w:lang w:eastAsia="zh-CN"/>
        </w:rPr>
        <w:t>郑州市自</w:t>
      </w:r>
      <w:r>
        <w:rPr>
          <w:rFonts w:hint="eastAsia" w:cs="宋体"/>
          <w:color w:val="auto"/>
          <w:sz w:val="24"/>
          <w:szCs w:val="24"/>
          <w:highlight w:val="none"/>
          <w:lang w:val="en-US" w:eastAsia="zh-CN"/>
        </w:rPr>
        <w:tab/>
      </w:r>
      <w:r>
        <w:rPr>
          <w:rFonts w:hint="eastAsia" w:cs="宋体"/>
          <w:color w:val="auto"/>
          <w:sz w:val="24"/>
          <w:szCs w:val="24"/>
          <w:highlight w:val="none"/>
          <w:lang w:eastAsia="zh-CN"/>
        </w:rPr>
        <w:t>然资源和规划局高新分局</w:t>
      </w:r>
    </w:p>
    <w:p w14:paraId="4B3652F4">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地址：</w:t>
      </w:r>
      <w:bookmarkStart w:id="8" w:name="OLE_LINK6"/>
      <w:r>
        <w:rPr>
          <w:rFonts w:hint="eastAsia" w:cs="宋体"/>
          <w:color w:val="auto"/>
          <w:sz w:val="24"/>
          <w:szCs w:val="24"/>
          <w:highlight w:val="none"/>
          <w:lang w:eastAsia="zh-CN"/>
        </w:rPr>
        <w:t>郑州市高新区科学大道与银兰路交叉口</w:t>
      </w:r>
      <w:bookmarkEnd w:id="8"/>
    </w:p>
    <w:p w14:paraId="299ED069">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联系人：</w:t>
      </w:r>
      <w:r>
        <w:rPr>
          <w:rFonts w:hint="eastAsia" w:cs="宋体"/>
          <w:color w:val="auto"/>
          <w:sz w:val="24"/>
          <w:szCs w:val="24"/>
          <w:highlight w:val="none"/>
          <w:lang w:eastAsia="zh-CN"/>
        </w:rPr>
        <w:t>韩</w:t>
      </w:r>
      <w:r>
        <w:rPr>
          <w:rFonts w:hint="eastAsia" w:cs="宋体"/>
          <w:color w:val="auto"/>
          <w:sz w:val="24"/>
          <w:szCs w:val="24"/>
          <w:highlight w:val="none"/>
          <w:lang w:val="en-US" w:eastAsia="zh-CN"/>
        </w:rPr>
        <w:t>老师</w:t>
      </w:r>
    </w:p>
    <w:p w14:paraId="18D9C353">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联系方式：</w:t>
      </w:r>
      <w:r>
        <w:rPr>
          <w:rFonts w:hint="eastAsia" w:cs="宋体"/>
          <w:color w:val="auto"/>
          <w:sz w:val="24"/>
          <w:szCs w:val="24"/>
          <w:highlight w:val="none"/>
          <w:lang w:val="en-US" w:eastAsia="zh-CN"/>
        </w:rPr>
        <w:t>0371-63687693</w:t>
      </w:r>
    </w:p>
    <w:p w14:paraId="7E7B42B8">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2.</w:t>
      </w:r>
      <w:r>
        <w:rPr>
          <w:rFonts w:hint="eastAsia" w:cs="宋体"/>
          <w:color w:val="auto"/>
          <w:sz w:val="24"/>
          <w:szCs w:val="24"/>
          <w:highlight w:val="none"/>
        </w:rPr>
        <w:t>采购代理机构信息</w:t>
      </w:r>
    </w:p>
    <w:p w14:paraId="4DBEC360">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名称：</w:t>
      </w:r>
      <w:bookmarkStart w:id="111" w:name="_GoBack"/>
      <w:r>
        <w:rPr>
          <w:rFonts w:hint="eastAsia" w:cs="宋体"/>
          <w:color w:val="auto"/>
          <w:sz w:val="24"/>
          <w:szCs w:val="24"/>
          <w:highlight w:val="none"/>
          <w:lang w:eastAsia="zh-CN"/>
        </w:rPr>
        <w:t>河南标晟项目管理有限公司</w:t>
      </w:r>
      <w:bookmarkEnd w:id="111"/>
    </w:p>
    <w:p w14:paraId="2E38EB04">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地址：</w:t>
      </w:r>
      <w:r>
        <w:rPr>
          <w:rFonts w:hint="eastAsia" w:cs="宋体"/>
          <w:color w:val="auto"/>
          <w:sz w:val="24"/>
          <w:szCs w:val="24"/>
          <w:highlight w:val="none"/>
          <w:lang w:eastAsia="zh-CN"/>
        </w:rPr>
        <w:t>郑州市金水区金水区中方园路60号九锦台小区5号楼1单元3层03号</w:t>
      </w:r>
    </w:p>
    <w:p w14:paraId="17962AFD">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联系人：</w:t>
      </w:r>
      <w:r>
        <w:rPr>
          <w:rFonts w:hint="eastAsia" w:cs="宋体"/>
          <w:color w:val="auto"/>
          <w:sz w:val="24"/>
          <w:szCs w:val="24"/>
          <w:highlight w:val="none"/>
          <w:lang w:val="en-US" w:eastAsia="zh-CN"/>
        </w:rPr>
        <w:t>宋先生</w:t>
      </w:r>
    </w:p>
    <w:p w14:paraId="1894FE89">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hint="eastAsia" w:cs="宋体"/>
          <w:color w:val="auto"/>
          <w:sz w:val="24"/>
          <w:szCs w:val="24"/>
          <w:highlight w:val="none"/>
        </w:rPr>
        <w:t>联系方式：</w:t>
      </w:r>
      <w:bookmarkStart w:id="9" w:name="OLE_LINK7"/>
      <w:r>
        <w:rPr>
          <w:rFonts w:hint="eastAsia" w:cs="宋体"/>
          <w:color w:val="auto"/>
          <w:sz w:val="24"/>
          <w:szCs w:val="24"/>
          <w:highlight w:val="none"/>
          <w:lang w:eastAsia="zh-CN"/>
        </w:rPr>
        <w:t>18738207778</w:t>
      </w:r>
      <w:bookmarkEnd w:id="9"/>
      <w:r>
        <w:rPr>
          <w:rFonts w:cs="宋体"/>
          <w:color w:val="auto"/>
          <w:sz w:val="24"/>
          <w:szCs w:val="24"/>
          <w:highlight w:val="none"/>
        </w:rPr>
        <w:t xml:space="preserve">   </w:t>
      </w:r>
    </w:p>
    <w:p w14:paraId="1630ADEF">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cs="宋体"/>
          <w:color w:val="auto"/>
          <w:sz w:val="24"/>
          <w:szCs w:val="24"/>
          <w:highlight w:val="none"/>
        </w:rPr>
      </w:pPr>
      <w:r>
        <w:rPr>
          <w:rFonts w:cs="宋体"/>
          <w:color w:val="auto"/>
          <w:sz w:val="24"/>
          <w:szCs w:val="24"/>
          <w:highlight w:val="none"/>
        </w:rPr>
        <w:t>3.</w:t>
      </w:r>
      <w:r>
        <w:rPr>
          <w:rFonts w:cs="宋体"/>
          <w:color w:val="auto"/>
          <w:sz w:val="24"/>
          <w:szCs w:val="24"/>
          <w:highlight w:val="none"/>
        </w:rPr>
        <w:tab/>
      </w:r>
      <w:r>
        <w:rPr>
          <w:rFonts w:hint="eastAsia" w:cs="宋体"/>
          <w:color w:val="auto"/>
          <w:sz w:val="24"/>
          <w:szCs w:val="24"/>
          <w:highlight w:val="none"/>
        </w:rPr>
        <w:t>项目联系方式</w:t>
      </w:r>
    </w:p>
    <w:p w14:paraId="4D98EB62">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项目联系人：</w:t>
      </w:r>
      <w:r>
        <w:rPr>
          <w:rFonts w:hint="eastAsia" w:cs="宋体"/>
          <w:color w:val="auto"/>
          <w:sz w:val="24"/>
          <w:szCs w:val="24"/>
          <w:highlight w:val="none"/>
          <w:lang w:val="en-US" w:eastAsia="zh-CN"/>
        </w:rPr>
        <w:t>宋先生</w:t>
      </w:r>
    </w:p>
    <w:p w14:paraId="201F5BDF">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eastAsia="宋体" w:cs="宋体"/>
          <w:color w:val="auto"/>
          <w:sz w:val="24"/>
          <w:szCs w:val="24"/>
          <w:highlight w:val="none"/>
          <w:lang w:val="en-US" w:eastAsia="zh-CN"/>
        </w:rPr>
      </w:pPr>
      <w:r>
        <w:rPr>
          <w:rFonts w:hint="eastAsia" w:cs="宋体"/>
          <w:color w:val="auto"/>
          <w:sz w:val="24"/>
          <w:szCs w:val="24"/>
          <w:highlight w:val="none"/>
        </w:rPr>
        <w:t>联系方式：</w:t>
      </w:r>
      <w:r>
        <w:rPr>
          <w:rFonts w:hint="eastAsia" w:cs="宋体"/>
          <w:color w:val="auto"/>
          <w:sz w:val="24"/>
          <w:szCs w:val="24"/>
          <w:highlight w:val="none"/>
          <w:lang w:eastAsia="zh-CN"/>
        </w:rPr>
        <w:t>18738207778</w:t>
      </w:r>
    </w:p>
    <w:p w14:paraId="1C0CEC4D">
      <w:pPr>
        <w:rPr>
          <w:rStyle w:val="97"/>
          <w:rFonts w:hint="eastAsia"/>
          <w:b/>
          <w:color w:val="auto"/>
          <w:sz w:val="24"/>
          <w:szCs w:val="24"/>
          <w:highlight w:val="none"/>
        </w:rPr>
      </w:pPr>
      <w:bookmarkStart w:id="10" w:name="_Toc16663"/>
      <w:bookmarkStart w:id="11" w:name="_Toc11500"/>
      <w:bookmarkStart w:id="12" w:name="_Toc20906"/>
      <w:r>
        <w:rPr>
          <w:rStyle w:val="97"/>
          <w:rFonts w:hint="eastAsia"/>
          <w:b/>
          <w:color w:val="auto"/>
          <w:sz w:val="24"/>
          <w:szCs w:val="24"/>
          <w:highlight w:val="none"/>
        </w:rPr>
        <w:br w:type="page"/>
      </w:r>
    </w:p>
    <w:p w14:paraId="1BAFFC80">
      <w:pPr>
        <w:pageBreakBefore w:val="0"/>
        <w:kinsoku/>
        <w:wordWrap/>
        <w:overflowPunct/>
        <w:autoSpaceDE/>
        <w:autoSpaceDN/>
        <w:bidi w:val="0"/>
        <w:spacing w:after="0" w:line="560" w:lineRule="exact"/>
        <w:jc w:val="center"/>
        <w:outlineLvl w:val="0"/>
        <w:rPr>
          <w:rStyle w:val="97"/>
          <w:b/>
          <w:color w:val="auto"/>
          <w:sz w:val="24"/>
          <w:szCs w:val="24"/>
          <w:highlight w:val="none"/>
        </w:rPr>
      </w:pPr>
      <w:bookmarkStart w:id="13" w:name="_Toc11110"/>
      <w:r>
        <w:rPr>
          <w:rStyle w:val="97"/>
          <w:rFonts w:hint="eastAsia"/>
          <w:b/>
          <w:color w:val="auto"/>
          <w:sz w:val="24"/>
          <w:szCs w:val="24"/>
          <w:highlight w:val="none"/>
        </w:rPr>
        <w:t>第二章</w:t>
      </w:r>
      <w:r>
        <w:rPr>
          <w:rStyle w:val="97"/>
          <w:rFonts w:hint="eastAsia"/>
          <w:b/>
          <w:color w:val="auto"/>
          <w:sz w:val="24"/>
          <w:szCs w:val="24"/>
          <w:highlight w:val="none"/>
          <w:lang w:val="en-US" w:eastAsia="zh-CN"/>
        </w:rPr>
        <w:t xml:space="preserve"> </w:t>
      </w:r>
      <w:r>
        <w:rPr>
          <w:rStyle w:val="97"/>
          <w:rFonts w:hint="eastAsia"/>
          <w:b/>
          <w:color w:val="auto"/>
          <w:sz w:val="24"/>
          <w:szCs w:val="24"/>
          <w:highlight w:val="none"/>
        </w:rPr>
        <w:t>响应商须知</w:t>
      </w:r>
      <w:bookmarkEnd w:id="10"/>
      <w:bookmarkEnd w:id="11"/>
      <w:bookmarkEnd w:id="12"/>
      <w:bookmarkEnd w:id="13"/>
    </w:p>
    <w:p w14:paraId="4AAF96E4">
      <w:pPr>
        <w:pageBreakBefore w:val="0"/>
        <w:kinsoku/>
        <w:wordWrap/>
        <w:overflowPunct/>
        <w:autoSpaceDE/>
        <w:autoSpaceDN/>
        <w:bidi w:val="0"/>
        <w:spacing w:after="0" w:line="560" w:lineRule="exact"/>
        <w:jc w:val="center"/>
        <w:rPr>
          <w:rStyle w:val="97"/>
          <w:rFonts w:cs="宋体"/>
          <w:b/>
          <w:bCs/>
          <w:color w:val="auto"/>
          <w:sz w:val="24"/>
          <w:szCs w:val="24"/>
          <w:highlight w:val="none"/>
        </w:rPr>
      </w:pPr>
      <w:r>
        <w:rPr>
          <w:rStyle w:val="97"/>
          <w:rFonts w:hint="eastAsia" w:cs="宋体"/>
          <w:b/>
          <w:bCs/>
          <w:color w:val="auto"/>
          <w:sz w:val="24"/>
          <w:szCs w:val="24"/>
          <w:highlight w:val="none"/>
        </w:rPr>
        <w:t>前附表</w:t>
      </w:r>
    </w:p>
    <w:tbl>
      <w:tblPr>
        <w:tblStyle w:val="22"/>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838"/>
        <w:gridCol w:w="6811"/>
      </w:tblGrid>
      <w:tr w14:paraId="5EC7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9C5DA8F">
            <w:pPr>
              <w:pageBreakBefore w:val="0"/>
              <w:kinsoku/>
              <w:wordWrap/>
              <w:overflowPunct/>
              <w:autoSpaceDE/>
              <w:autoSpaceDN/>
              <w:bidi w:val="0"/>
              <w:spacing w:after="0" w:line="560" w:lineRule="exact"/>
              <w:jc w:val="center"/>
              <w:textAlignment w:val="auto"/>
              <w:rPr>
                <w:rStyle w:val="97"/>
                <w:b/>
                <w:color w:val="auto"/>
                <w:sz w:val="24"/>
                <w:szCs w:val="24"/>
                <w:highlight w:val="none"/>
              </w:rPr>
            </w:pPr>
            <w:r>
              <w:rPr>
                <w:rStyle w:val="97"/>
                <w:rFonts w:hint="eastAsia"/>
                <w:b/>
                <w:color w:val="auto"/>
                <w:sz w:val="24"/>
                <w:szCs w:val="24"/>
                <w:highlight w:val="none"/>
              </w:rPr>
              <w:t>序号</w:t>
            </w:r>
          </w:p>
        </w:tc>
        <w:tc>
          <w:tcPr>
            <w:tcW w:w="1838" w:type="dxa"/>
            <w:vAlign w:val="center"/>
          </w:tcPr>
          <w:p w14:paraId="3BDC7808">
            <w:pPr>
              <w:pageBreakBefore w:val="0"/>
              <w:kinsoku/>
              <w:wordWrap/>
              <w:overflowPunct/>
              <w:autoSpaceDE/>
              <w:autoSpaceDN/>
              <w:bidi w:val="0"/>
              <w:spacing w:after="0" w:line="560" w:lineRule="exact"/>
              <w:jc w:val="center"/>
              <w:textAlignment w:val="auto"/>
              <w:rPr>
                <w:rStyle w:val="97"/>
                <w:b/>
                <w:color w:val="auto"/>
                <w:sz w:val="24"/>
                <w:szCs w:val="24"/>
                <w:highlight w:val="none"/>
              </w:rPr>
            </w:pPr>
            <w:r>
              <w:rPr>
                <w:rStyle w:val="97"/>
                <w:rFonts w:hint="eastAsia"/>
                <w:b/>
                <w:color w:val="auto"/>
                <w:sz w:val="24"/>
                <w:szCs w:val="24"/>
                <w:highlight w:val="none"/>
              </w:rPr>
              <w:t>名称</w:t>
            </w:r>
          </w:p>
        </w:tc>
        <w:tc>
          <w:tcPr>
            <w:tcW w:w="6811" w:type="dxa"/>
            <w:vAlign w:val="center"/>
          </w:tcPr>
          <w:p w14:paraId="70FCAB0E">
            <w:pPr>
              <w:pageBreakBefore w:val="0"/>
              <w:kinsoku/>
              <w:wordWrap/>
              <w:overflowPunct/>
              <w:autoSpaceDE/>
              <w:autoSpaceDN/>
              <w:bidi w:val="0"/>
              <w:spacing w:after="0" w:line="560" w:lineRule="exact"/>
              <w:jc w:val="center"/>
              <w:textAlignment w:val="auto"/>
              <w:rPr>
                <w:rStyle w:val="97"/>
                <w:b/>
                <w:color w:val="auto"/>
                <w:sz w:val="24"/>
                <w:szCs w:val="24"/>
                <w:highlight w:val="none"/>
              </w:rPr>
            </w:pPr>
            <w:r>
              <w:rPr>
                <w:rStyle w:val="97"/>
                <w:rFonts w:hint="eastAsia"/>
                <w:b/>
                <w:color w:val="auto"/>
                <w:sz w:val="24"/>
                <w:szCs w:val="24"/>
                <w:highlight w:val="none"/>
              </w:rPr>
              <w:t>内容</w:t>
            </w:r>
          </w:p>
        </w:tc>
      </w:tr>
      <w:tr w14:paraId="799A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5" w:type="dxa"/>
            <w:vAlign w:val="center"/>
          </w:tcPr>
          <w:p w14:paraId="074C4770">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w:t>
            </w:r>
          </w:p>
        </w:tc>
        <w:tc>
          <w:tcPr>
            <w:tcW w:w="1838" w:type="dxa"/>
            <w:vAlign w:val="center"/>
          </w:tcPr>
          <w:p w14:paraId="2FD56D2B">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采购人</w:t>
            </w:r>
          </w:p>
        </w:tc>
        <w:tc>
          <w:tcPr>
            <w:tcW w:w="6811" w:type="dxa"/>
            <w:vAlign w:val="center"/>
          </w:tcPr>
          <w:p w14:paraId="1A4F9CE8">
            <w:pPr>
              <w:pageBreakBefore w:val="0"/>
              <w:kinsoku/>
              <w:wordWrap/>
              <w:overflowPunct/>
              <w:autoSpaceDE/>
              <w:autoSpaceDN/>
              <w:bidi w:val="0"/>
              <w:spacing w:after="0" w:line="560" w:lineRule="exact"/>
              <w:textAlignment w:val="auto"/>
              <w:rPr>
                <w:rStyle w:val="97"/>
                <w:rFonts w:hint="eastAsia" w:eastAsia="宋体"/>
                <w:color w:val="auto"/>
                <w:sz w:val="24"/>
                <w:szCs w:val="24"/>
                <w:highlight w:val="none"/>
                <w:lang w:eastAsia="zh-CN"/>
              </w:rPr>
            </w:pPr>
            <w:r>
              <w:rPr>
                <w:rStyle w:val="97"/>
                <w:rFonts w:hint="eastAsia"/>
                <w:color w:val="auto"/>
                <w:sz w:val="24"/>
                <w:szCs w:val="24"/>
                <w:highlight w:val="none"/>
              </w:rPr>
              <w:t>采购单位</w:t>
            </w:r>
            <w:r>
              <w:rPr>
                <w:rStyle w:val="97"/>
                <w:color w:val="auto"/>
                <w:sz w:val="24"/>
                <w:szCs w:val="24"/>
                <w:highlight w:val="none"/>
              </w:rPr>
              <w:t>:</w:t>
            </w:r>
            <w:r>
              <w:rPr>
                <w:rStyle w:val="97"/>
                <w:rFonts w:hint="eastAsia"/>
                <w:color w:val="auto"/>
                <w:sz w:val="24"/>
                <w:szCs w:val="24"/>
                <w:highlight w:val="none"/>
                <w:lang w:eastAsia="zh-CN"/>
              </w:rPr>
              <w:t>郑州市自然资源和规划局高新分局</w:t>
            </w:r>
          </w:p>
          <w:p w14:paraId="0AFEEA2F">
            <w:pPr>
              <w:pageBreakBefore w:val="0"/>
              <w:kinsoku/>
              <w:wordWrap/>
              <w:overflowPunct/>
              <w:autoSpaceDE/>
              <w:autoSpaceDN/>
              <w:bidi w:val="0"/>
              <w:spacing w:after="0" w:line="560" w:lineRule="exact"/>
              <w:textAlignment w:val="auto"/>
              <w:rPr>
                <w:rStyle w:val="97"/>
                <w:rFonts w:hint="eastAsia"/>
                <w:color w:val="auto"/>
                <w:sz w:val="24"/>
                <w:szCs w:val="24"/>
                <w:highlight w:val="none"/>
                <w:lang w:eastAsia="zh-CN"/>
              </w:rPr>
            </w:pPr>
            <w:r>
              <w:rPr>
                <w:rStyle w:val="97"/>
                <w:rFonts w:hint="eastAsia"/>
                <w:color w:val="auto"/>
                <w:sz w:val="24"/>
                <w:szCs w:val="24"/>
                <w:highlight w:val="none"/>
              </w:rPr>
              <w:t>联系人：</w:t>
            </w:r>
            <w:r>
              <w:rPr>
                <w:rStyle w:val="97"/>
                <w:rFonts w:hint="eastAsia"/>
                <w:color w:val="auto"/>
                <w:sz w:val="24"/>
                <w:szCs w:val="24"/>
                <w:highlight w:val="none"/>
                <w:lang w:eastAsia="zh-CN"/>
              </w:rPr>
              <w:t>韩</w:t>
            </w:r>
            <w:r>
              <w:rPr>
                <w:rStyle w:val="97"/>
                <w:rFonts w:hint="eastAsia"/>
                <w:color w:val="auto"/>
                <w:sz w:val="24"/>
                <w:szCs w:val="24"/>
                <w:highlight w:val="none"/>
                <w:lang w:val="en-US" w:eastAsia="zh-CN"/>
              </w:rPr>
              <w:t>老师</w:t>
            </w:r>
          </w:p>
          <w:p w14:paraId="64F0392E">
            <w:pPr>
              <w:pageBreakBefore w:val="0"/>
              <w:kinsoku/>
              <w:wordWrap/>
              <w:overflowPunct/>
              <w:autoSpaceDE/>
              <w:autoSpaceDN/>
              <w:bidi w:val="0"/>
              <w:spacing w:after="0" w:line="560" w:lineRule="exact"/>
              <w:textAlignment w:val="auto"/>
              <w:rPr>
                <w:rStyle w:val="97"/>
                <w:rFonts w:hint="default" w:eastAsia="宋体"/>
                <w:color w:val="auto"/>
                <w:sz w:val="24"/>
                <w:szCs w:val="24"/>
                <w:highlight w:val="none"/>
                <w:lang w:val="en-US" w:eastAsia="zh-CN"/>
              </w:rPr>
            </w:pPr>
            <w:r>
              <w:rPr>
                <w:rStyle w:val="97"/>
                <w:rFonts w:hint="eastAsia"/>
                <w:color w:val="auto"/>
                <w:sz w:val="24"/>
                <w:szCs w:val="24"/>
                <w:highlight w:val="none"/>
              </w:rPr>
              <w:t>联系方式：</w:t>
            </w:r>
            <w:r>
              <w:rPr>
                <w:rStyle w:val="97"/>
                <w:rFonts w:hint="eastAsia"/>
                <w:color w:val="auto"/>
                <w:sz w:val="24"/>
                <w:szCs w:val="24"/>
                <w:highlight w:val="none"/>
                <w:lang w:val="en-US" w:eastAsia="zh-CN"/>
              </w:rPr>
              <w:t>0371-63687693</w:t>
            </w:r>
          </w:p>
          <w:p w14:paraId="73DED131">
            <w:pPr>
              <w:pageBreakBefore w:val="0"/>
              <w:kinsoku/>
              <w:wordWrap/>
              <w:overflowPunct/>
              <w:autoSpaceDE/>
              <w:autoSpaceDN/>
              <w:bidi w:val="0"/>
              <w:spacing w:after="0" w:line="560" w:lineRule="exact"/>
              <w:textAlignment w:val="auto"/>
              <w:rPr>
                <w:rStyle w:val="97"/>
                <w:rFonts w:hint="default" w:eastAsia="宋体"/>
                <w:color w:val="auto"/>
                <w:sz w:val="24"/>
                <w:szCs w:val="24"/>
                <w:highlight w:val="none"/>
                <w:lang w:val="en-US" w:eastAsia="zh-CN"/>
              </w:rPr>
            </w:pPr>
            <w:r>
              <w:rPr>
                <w:rStyle w:val="97"/>
                <w:rFonts w:hint="eastAsia"/>
                <w:color w:val="auto"/>
                <w:sz w:val="24"/>
                <w:szCs w:val="24"/>
                <w:highlight w:val="none"/>
              </w:rPr>
              <w:t>地址：</w:t>
            </w:r>
            <w:r>
              <w:rPr>
                <w:rStyle w:val="97"/>
                <w:rFonts w:hint="eastAsia"/>
                <w:color w:val="auto"/>
                <w:sz w:val="24"/>
                <w:szCs w:val="24"/>
                <w:highlight w:val="none"/>
                <w:lang w:eastAsia="zh-CN"/>
              </w:rPr>
              <w:t>郑州市高新区科学大道与银兰路交叉口</w:t>
            </w:r>
          </w:p>
        </w:tc>
      </w:tr>
      <w:tr w14:paraId="6E740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E4E1328">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2</w:t>
            </w:r>
          </w:p>
        </w:tc>
        <w:tc>
          <w:tcPr>
            <w:tcW w:w="1838" w:type="dxa"/>
            <w:vAlign w:val="center"/>
          </w:tcPr>
          <w:p w14:paraId="797F4E33">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采购代理机构</w:t>
            </w:r>
          </w:p>
        </w:tc>
        <w:tc>
          <w:tcPr>
            <w:tcW w:w="6811" w:type="dxa"/>
            <w:vAlign w:val="center"/>
          </w:tcPr>
          <w:p w14:paraId="586AE67E">
            <w:pPr>
              <w:pageBreakBefore w:val="0"/>
              <w:kinsoku/>
              <w:wordWrap/>
              <w:overflowPunct/>
              <w:autoSpaceDE/>
              <w:autoSpaceDN/>
              <w:bidi w:val="0"/>
              <w:spacing w:after="0" w:line="560" w:lineRule="exact"/>
              <w:textAlignment w:val="auto"/>
              <w:rPr>
                <w:rStyle w:val="97"/>
                <w:rFonts w:hint="eastAsia" w:eastAsia="宋体"/>
                <w:color w:val="auto"/>
                <w:sz w:val="24"/>
                <w:szCs w:val="24"/>
                <w:highlight w:val="none"/>
                <w:lang w:eastAsia="zh-CN"/>
              </w:rPr>
            </w:pPr>
            <w:r>
              <w:rPr>
                <w:rStyle w:val="97"/>
                <w:rFonts w:hint="eastAsia"/>
                <w:color w:val="auto"/>
                <w:sz w:val="24"/>
                <w:szCs w:val="24"/>
                <w:highlight w:val="none"/>
              </w:rPr>
              <w:t>采购</w:t>
            </w:r>
            <w:r>
              <w:rPr>
                <w:rStyle w:val="97"/>
                <w:rFonts w:hint="eastAsia"/>
                <w:color w:val="auto"/>
                <w:sz w:val="24"/>
                <w:szCs w:val="24"/>
                <w:highlight w:val="none"/>
                <w:lang w:val="en-US" w:eastAsia="zh-CN"/>
              </w:rPr>
              <w:t>代理</w:t>
            </w:r>
            <w:r>
              <w:rPr>
                <w:rStyle w:val="97"/>
                <w:rFonts w:hint="eastAsia"/>
                <w:color w:val="auto"/>
                <w:sz w:val="24"/>
                <w:szCs w:val="24"/>
                <w:highlight w:val="none"/>
              </w:rPr>
              <w:t>机构</w:t>
            </w:r>
            <w:r>
              <w:rPr>
                <w:rStyle w:val="97"/>
                <w:color w:val="auto"/>
                <w:sz w:val="24"/>
                <w:szCs w:val="24"/>
                <w:highlight w:val="none"/>
              </w:rPr>
              <w:t>:</w:t>
            </w:r>
            <w:r>
              <w:rPr>
                <w:rStyle w:val="97"/>
                <w:rFonts w:hint="eastAsia"/>
                <w:color w:val="auto"/>
                <w:sz w:val="24"/>
                <w:szCs w:val="24"/>
                <w:highlight w:val="none"/>
                <w:lang w:eastAsia="zh-CN"/>
              </w:rPr>
              <w:t>河南标晟项目管理有限公司</w:t>
            </w:r>
          </w:p>
          <w:p w14:paraId="12C83FAD">
            <w:pPr>
              <w:pageBreakBefore w:val="0"/>
              <w:kinsoku/>
              <w:wordWrap/>
              <w:overflowPunct/>
              <w:autoSpaceDE/>
              <w:autoSpaceDN/>
              <w:bidi w:val="0"/>
              <w:spacing w:after="0" w:line="560" w:lineRule="exact"/>
              <w:textAlignment w:val="auto"/>
              <w:rPr>
                <w:rStyle w:val="97"/>
                <w:rFonts w:hint="eastAsia"/>
                <w:color w:val="auto"/>
                <w:sz w:val="24"/>
                <w:szCs w:val="24"/>
                <w:highlight w:val="none"/>
                <w:lang w:eastAsia="zh-CN"/>
              </w:rPr>
            </w:pPr>
            <w:r>
              <w:rPr>
                <w:rStyle w:val="97"/>
                <w:rFonts w:hint="eastAsia"/>
                <w:color w:val="auto"/>
                <w:sz w:val="24"/>
                <w:szCs w:val="24"/>
                <w:highlight w:val="none"/>
              </w:rPr>
              <w:t>名称：</w:t>
            </w:r>
            <w:r>
              <w:rPr>
                <w:rStyle w:val="97"/>
                <w:rFonts w:hint="eastAsia"/>
                <w:color w:val="auto"/>
                <w:sz w:val="24"/>
                <w:szCs w:val="24"/>
                <w:highlight w:val="none"/>
                <w:lang w:eastAsia="zh-CN"/>
              </w:rPr>
              <w:t>河南标晟项目管理有限公司</w:t>
            </w:r>
          </w:p>
          <w:p w14:paraId="184BEB35">
            <w:pPr>
              <w:pageBreakBefore w:val="0"/>
              <w:kinsoku/>
              <w:wordWrap/>
              <w:overflowPunct/>
              <w:autoSpaceDE/>
              <w:autoSpaceDN/>
              <w:bidi w:val="0"/>
              <w:spacing w:after="0" w:line="560" w:lineRule="exact"/>
              <w:textAlignment w:val="auto"/>
              <w:rPr>
                <w:rStyle w:val="97"/>
                <w:rFonts w:hint="eastAsia" w:eastAsia="宋体"/>
                <w:color w:val="auto"/>
                <w:sz w:val="24"/>
                <w:szCs w:val="24"/>
                <w:highlight w:val="none"/>
                <w:lang w:eastAsia="zh-CN"/>
              </w:rPr>
            </w:pPr>
            <w:r>
              <w:rPr>
                <w:rStyle w:val="97"/>
                <w:rFonts w:hint="eastAsia"/>
                <w:color w:val="auto"/>
                <w:sz w:val="24"/>
                <w:szCs w:val="24"/>
                <w:highlight w:val="none"/>
              </w:rPr>
              <w:t>地址：</w:t>
            </w:r>
            <w:r>
              <w:rPr>
                <w:rStyle w:val="97"/>
                <w:rFonts w:hint="eastAsia"/>
                <w:color w:val="auto"/>
                <w:sz w:val="24"/>
                <w:szCs w:val="24"/>
                <w:highlight w:val="none"/>
                <w:lang w:eastAsia="zh-CN"/>
              </w:rPr>
              <w:t>郑州市金水区金水区中方园路60号九锦台小区5号楼1单元3层03号</w:t>
            </w:r>
          </w:p>
          <w:p w14:paraId="16F44F0D">
            <w:pPr>
              <w:pageBreakBefore w:val="0"/>
              <w:kinsoku/>
              <w:wordWrap/>
              <w:overflowPunct/>
              <w:autoSpaceDE/>
              <w:autoSpaceDN/>
              <w:bidi w:val="0"/>
              <w:spacing w:after="0" w:line="560" w:lineRule="exact"/>
              <w:textAlignment w:val="auto"/>
              <w:rPr>
                <w:rStyle w:val="97"/>
                <w:rFonts w:hint="eastAsia"/>
                <w:color w:val="auto"/>
                <w:sz w:val="24"/>
                <w:szCs w:val="24"/>
                <w:highlight w:val="none"/>
                <w:lang w:eastAsia="zh-CN"/>
              </w:rPr>
            </w:pPr>
            <w:r>
              <w:rPr>
                <w:rStyle w:val="97"/>
                <w:rFonts w:hint="eastAsia"/>
                <w:color w:val="auto"/>
                <w:sz w:val="24"/>
                <w:szCs w:val="24"/>
                <w:highlight w:val="none"/>
              </w:rPr>
              <w:t>联系人：</w:t>
            </w:r>
            <w:r>
              <w:rPr>
                <w:rStyle w:val="97"/>
                <w:rFonts w:hint="eastAsia"/>
                <w:color w:val="auto"/>
                <w:sz w:val="24"/>
                <w:szCs w:val="24"/>
                <w:highlight w:val="none"/>
                <w:lang w:val="en-US" w:eastAsia="zh-CN"/>
              </w:rPr>
              <w:t>宋先生</w:t>
            </w:r>
          </w:p>
          <w:p w14:paraId="778C0119">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联系方式：</w:t>
            </w:r>
            <w:r>
              <w:rPr>
                <w:rStyle w:val="97"/>
                <w:rFonts w:hint="eastAsia"/>
                <w:color w:val="auto"/>
                <w:sz w:val="24"/>
                <w:szCs w:val="24"/>
                <w:highlight w:val="none"/>
                <w:lang w:eastAsia="zh-CN"/>
              </w:rPr>
              <w:t>18738207778</w:t>
            </w:r>
            <w:r>
              <w:rPr>
                <w:rStyle w:val="97"/>
                <w:color w:val="auto"/>
                <w:sz w:val="24"/>
                <w:szCs w:val="24"/>
                <w:highlight w:val="none"/>
              </w:rPr>
              <w:t xml:space="preserve"> </w:t>
            </w:r>
          </w:p>
        </w:tc>
      </w:tr>
      <w:tr w14:paraId="70E7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65" w:type="dxa"/>
            <w:vAlign w:val="center"/>
          </w:tcPr>
          <w:p w14:paraId="2C925816">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3</w:t>
            </w:r>
          </w:p>
        </w:tc>
        <w:tc>
          <w:tcPr>
            <w:tcW w:w="1838" w:type="dxa"/>
            <w:vAlign w:val="center"/>
          </w:tcPr>
          <w:p w14:paraId="5F5DE81C">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项目名称</w:t>
            </w:r>
          </w:p>
        </w:tc>
        <w:tc>
          <w:tcPr>
            <w:tcW w:w="6811" w:type="dxa"/>
            <w:vAlign w:val="center"/>
          </w:tcPr>
          <w:p w14:paraId="034347A2">
            <w:pPr>
              <w:pageBreakBefore w:val="0"/>
              <w:kinsoku/>
              <w:wordWrap/>
              <w:overflowPunct/>
              <w:autoSpaceDE/>
              <w:autoSpaceDN/>
              <w:bidi w:val="0"/>
              <w:spacing w:after="0" w:line="560" w:lineRule="exact"/>
              <w:textAlignment w:val="auto"/>
              <w:rPr>
                <w:rStyle w:val="97"/>
                <w:rFonts w:hint="eastAsia" w:eastAsia="宋体"/>
                <w:color w:val="auto"/>
                <w:sz w:val="24"/>
                <w:szCs w:val="24"/>
                <w:highlight w:val="none"/>
                <w:lang w:eastAsia="zh-CN"/>
              </w:rPr>
            </w:pPr>
            <w:r>
              <w:rPr>
                <w:rStyle w:val="97"/>
                <w:rFonts w:hint="eastAsia"/>
                <w:color w:val="auto"/>
                <w:sz w:val="24"/>
                <w:szCs w:val="24"/>
                <w:highlight w:val="none"/>
                <w:lang w:eastAsia="zh-CN"/>
              </w:rPr>
              <w:t>郑州市自然资源和规划局高新分局不动产登记和房地产交易中心档案整理项目</w:t>
            </w:r>
          </w:p>
        </w:tc>
      </w:tr>
      <w:tr w14:paraId="160DF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5E3F0428">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4</w:t>
            </w:r>
          </w:p>
        </w:tc>
        <w:tc>
          <w:tcPr>
            <w:tcW w:w="1838" w:type="dxa"/>
            <w:vAlign w:val="center"/>
          </w:tcPr>
          <w:p w14:paraId="11947ED8">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s="宋体"/>
                <w:b/>
                <w:bCs/>
                <w:color w:val="auto"/>
                <w:sz w:val="24"/>
                <w:szCs w:val="24"/>
                <w:highlight w:val="none"/>
              </w:rPr>
              <w:t>采购编号</w:t>
            </w:r>
          </w:p>
        </w:tc>
        <w:tc>
          <w:tcPr>
            <w:tcW w:w="6811" w:type="dxa"/>
            <w:vAlign w:val="center"/>
          </w:tcPr>
          <w:p w14:paraId="33E42112">
            <w:pPr>
              <w:pageBreakBefore w:val="0"/>
              <w:kinsoku/>
              <w:wordWrap/>
              <w:overflowPunct/>
              <w:autoSpaceDE/>
              <w:autoSpaceDN/>
              <w:bidi w:val="0"/>
              <w:spacing w:after="0" w:line="560" w:lineRule="exact"/>
              <w:textAlignment w:val="auto"/>
              <w:rPr>
                <w:rStyle w:val="97"/>
                <w:rFonts w:hint="eastAsia" w:eastAsia="宋体"/>
                <w:color w:val="auto"/>
                <w:sz w:val="24"/>
                <w:szCs w:val="24"/>
                <w:highlight w:val="none"/>
                <w:lang w:val="en-US" w:eastAsia="zh-CN"/>
              </w:rPr>
            </w:pPr>
            <w:r>
              <w:rPr>
                <w:rStyle w:val="97"/>
                <w:rFonts w:hint="eastAsia"/>
                <w:color w:val="auto"/>
                <w:sz w:val="24"/>
                <w:szCs w:val="24"/>
                <w:highlight w:val="none"/>
                <w:lang w:eastAsia="zh-CN"/>
              </w:rPr>
              <w:t>高新竞争性磋商采购[2024]24号</w:t>
            </w:r>
          </w:p>
        </w:tc>
      </w:tr>
      <w:tr w14:paraId="5F996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6FD6D10A">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5</w:t>
            </w:r>
          </w:p>
        </w:tc>
        <w:tc>
          <w:tcPr>
            <w:tcW w:w="1838" w:type="dxa"/>
            <w:vAlign w:val="center"/>
          </w:tcPr>
          <w:p w14:paraId="41220E18">
            <w:pPr>
              <w:pageBreakBefore w:val="0"/>
              <w:kinsoku/>
              <w:wordWrap/>
              <w:overflowPunct/>
              <w:autoSpaceDE/>
              <w:autoSpaceDN/>
              <w:bidi w:val="0"/>
              <w:spacing w:after="0" w:line="560" w:lineRule="exact"/>
              <w:jc w:val="center"/>
              <w:textAlignment w:val="auto"/>
              <w:rPr>
                <w:rStyle w:val="97"/>
                <w:rFonts w:hint="eastAsia" w:eastAsia="宋体"/>
                <w:color w:val="auto"/>
                <w:sz w:val="24"/>
                <w:szCs w:val="24"/>
                <w:highlight w:val="none"/>
                <w:lang w:eastAsia="zh-CN"/>
              </w:rPr>
            </w:pPr>
            <w:r>
              <w:rPr>
                <w:rStyle w:val="97"/>
                <w:rFonts w:hint="eastAsia"/>
                <w:color w:val="auto"/>
                <w:sz w:val="24"/>
                <w:szCs w:val="24"/>
                <w:highlight w:val="none"/>
              </w:rPr>
              <w:t>资金来源及</w:t>
            </w:r>
            <w:r>
              <w:rPr>
                <w:rStyle w:val="97"/>
                <w:rFonts w:hint="eastAsia"/>
                <w:color w:val="auto"/>
                <w:sz w:val="24"/>
                <w:szCs w:val="24"/>
                <w:highlight w:val="none"/>
                <w:lang w:val="en-US" w:eastAsia="zh-CN"/>
              </w:rPr>
              <w:t>比例</w:t>
            </w:r>
          </w:p>
        </w:tc>
        <w:tc>
          <w:tcPr>
            <w:tcW w:w="6811" w:type="dxa"/>
            <w:vAlign w:val="center"/>
          </w:tcPr>
          <w:p w14:paraId="45E52FA8">
            <w:pPr>
              <w:pageBreakBefore w:val="0"/>
              <w:kinsoku/>
              <w:wordWrap/>
              <w:overflowPunct/>
              <w:autoSpaceDE/>
              <w:autoSpaceDN/>
              <w:bidi w:val="0"/>
              <w:spacing w:after="0" w:line="560" w:lineRule="exact"/>
              <w:textAlignment w:val="auto"/>
              <w:rPr>
                <w:rStyle w:val="97"/>
                <w:rFonts w:hint="default" w:eastAsia="宋体"/>
                <w:color w:val="auto"/>
                <w:sz w:val="24"/>
                <w:szCs w:val="24"/>
                <w:highlight w:val="none"/>
                <w:lang w:val="en-US" w:eastAsia="zh-CN"/>
              </w:rPr>
            </w:pPr>
            <w:r>
              <w:rPr>
                <w:rStyle w:val="97"/>
                <w:rFonts w:hint="eastAsia"/>
                <w:color w:val="auto"/>
                <w:sz w:val="24"/>
                <w:szCs w:val="24"/>
                <w:highlight w:val="none"/>
              </w:rPr>
              <w:t>财政资金，</w:t>
            </w:r>
            <w:r>
              <w:rPr>
                <w:rStyle w:val="97"/>
                <w:rFonts w:hint="eastAsia"/>
                <w:color w:val="auto"/>
                <w:sz w:val="24"/>
                <w:szCs w:val="24"/>
                <w:highlight w:val="none"/>
                <w:lang w:val="en-US" w:eastAsia="zh-CN"/>
              </w:rPr>
              <w:t>100%</w:t>
            </w:r>
          </w:p>
        </w:tc>
      </w:tr>
      <w:tr w14:paraId="17F2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565" w:type="dxa"/>
            <w:vAlign w:val="center"/>
          </w:tcPr>
          <w:p w14:paraId="5740552E">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6</w:t>
            </w:r>
          </w:p>
        </w:tc>
        <w:tc>
          <w:tcPr>
            <w:tcW w:w="1838" w:type="dxa"/>
            <w:vAlign w:val="center"/>
          </w:tcPr>
          <w:p w14:paraId="517C90F4">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lang w:val="en-US" w:eastAsia="zh-CN"/>
              </w:rPr>
              <w:t>磋商</w:t>
            </w:r>
            <w:r>
              <w:rPr>
                <w:rStyle w:val="97"/>
                <w:rFonts w:hint="eastAsia"/>
                <w:color w:val="auto"/>
                <w:sz w:val="24"/>
                <w:szCs w:val="24"/>
                <w:highlight w:val="none"/>
              </w:rPr>
              <w:t>有效期</w:t>
            </w:r>
          </w:p>
        </w:tc>
        <w:tc>
          <w:tcPr>
            <w:tcW w:w="6811" w:type="dxa"/>
            <w:vAlign w:val="center"/>
          </w:tcPr>
          <w:p w14:paraId="5DFBFAEA">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提交响应文件的截止之日起</w:t>
            </w:r>
            <w:r>
              <w:rPr>
                <w:rStyle w:val="97"/>
                <w:color w:val="auto"/>
                <w:sz w:val="24"/>
                <w:szCs w:val="24"/>
                <w:highlight w:val="none"/>
              </w:rPr>
              <w:t>60</w:t>
            </w:r>
            <w:r>
              <w:rPr>
                <w:rStyle w:val="97"/>
                <w:rFonts w:hint="eastAsia"/>
                <w:color w:val="auto"/>
                <w:sz w:val="24"/>
                <w:szCs w:val="24"/>
                <w:highlight w:val="none"/>
              </w:rPr>
              <w:t>日历天</w:t>
            </w:r>
          </w:p>
        </w:tc>
      </w:tr>
      <w:tr w14:paraId="36D7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0E4A5F08">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7</w:t>
            </w:r>
          </w:p>
        </w:tc>
        <w:tc>
          <w:tcPr>
            <w:tcW w:w="1838" w:type="dxa"/>
            <w:vAlign w:val="center"/>
          </w:tcPr>
          <w:p w14:paraId="4B763997">
            <w:pPr>
              <w:pageBreakBefore w:val="0"/>
              <w:kinsoku/>
              <w:wordWrap/>
              <w:overflowPunct/>
              <w:autoSpaceDE/>
              <w:autoSpaceDN/>
              <w:bidi w:val="0"/>
              <w:spacing w:after="0" w:line="560" w:lineRule="exact"/>
              <w:jc w:val="center"/>
              <w:textAlignment w:val="auto"/>
              <w:rPr>
                <w:rStyle w:val="97"/>
                <w:rFonts w:hint="eastAsia" w:eastAsia="宋体"/>
                <w:color w:val="auto"/>
                <w:sz w:val="24"/>
                <w:szCs w:val="24"/>
                <w:highlight w:val="none"/>
                <w:lang w:eastAsia="zh-CN"/>
              </w:rPr>
            </w:pPr>
            <w:r>
              <w:rPr>
                <w:rStyle w:val="97"/>
                <w:rFonts w:hint="eastAsia"/>
                <w:color w:val="auto"/>
                <w:sz w:val="24"/>
                <w:szCs w:val="24"/>
                <w:highlight w:val="none"/>
                <w:lang w:eastAsia="zh-CN"/>
              </w:rPr>
              <w:t>服务期限</w:t>
            </w:r>
          </w:p>
        </w:tc>
        <w:tc>
          <w:tcPr>
            <w:tcW w:w="6811" w:type="dxa"/>
            <w:vAlign w:val="center"/>
          </w:tcPr>
          <w:p w14:paraId="5749DCE6">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自合同签订之日起一年（经采购人考核合格，可续签下一年度合同，最多续签两年）</w:t>
            </w:r>
          </w:p>
        </w:tc>
      </w:tr>
      <w:tr w14:paraId="37E9D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565" w:type="dxa"/>
            <w:vAlign w:val="center"/>
          </w:tcPr>
          <w:p w14:paraId="5F288183">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8</w:t>
            </w:r>
          </w:p>
        </w:tc>
        <w:tc>
          <w:tcPr>
            <w:tcW w:w="1838" w:type="dxa"/>
            <w:vAlign w:val="center"/>
          </w:tcPr>
          <w:p w14:paraId="456B87AD">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供应商资格要求</w:t>
            </w:r>
          </w:p>
        </w:tc>
        <w:tc>
          <w:tcPr>
            <w:tcW w:w="6811" w:type="dxa"/>
            <w:vAlign w:val="center"/>
          </w:tcPr>
          <w:p w14:paraId="379C9628">
            <w:pPr>
              <w:pageBreakBefore w:val="0"/>
              <w:kinsoku/>
              <w:wordWrap/>
              <w:overflowPunct/>
              <w:autoSpaceDE/>
              <w:autoSpaceDN/>
              <w:bidi w:val="0"/>
              <w:spacing w:after="0" w:line="560" w:lineRule="exact"/>
              <w:jc w:val="left"/>
              <w:textAlignment w:val="auto"/>
              <w:rPr>
                <w:rStyle w:val="97"/>
                <w:rFonts w:hint="eastAsia" w:ascii="Times New Roman" w:hAnsi="Times New Roman" w:eastAsia="宋体" w:cs="Times New Roman"/>
                <w:color w:val="auto"/>
                <w:sz w:val="24"/>
                <w:szCs w:val="24"/>
                <w:highlight w:val="none"/>
              </w:rPr>
            </w:pPr>
            <w:r>
              <w:rPr>
                <w:rStyle w:val="97"/>
                <w:rFonts w:hint="eastAsia" w:ascii="Times New Roman" w:hAnsi="Times New Roman" w:eastAsia="宋体" w:cs="Times New Roman"/>
                <w:color w:val="auto"/>
                <w:sz w:val="24"/>
                <w:szCs w:val="24"/>
                <w:highlight w:val="none"/>
              </w:rPr>
              <w:t>1.法人或者非法人组织的营业执照等证明文件；</w:t>
            </w:r>
          </w:p>
          <w:p w14:paraId="710E0B76">
            <w:pPr>
              <w:pageBreakBefore w:val="0"/>
              <w:kinsoku/>
              <w:wordWrap/>
              <w:overflowPunct/>
              <w:autoSpaceDE/>
              <w:autoSpaceDN/>
              <w:bidi w:val="0"/>
              <w:spacing w:after="0" w:line="560" w:lineRule="exact"/>
              <w:jc w:val="left"/>
              <w:textAlignment w:val="auto"/>
              <w:rPr>
                <w:rStyle w:val="97"/>
                <w:rFonts w:hint="eastAsia" w:ascii="Times New Roman" w:hAnsi="Times New Roman" w:eastAsia="宋体" w:cs="Times New Roman"/>
                <w:color w:val="auto"/>
                <w:sz w:val="24"/>
                <w:szCs w:val="24"/>
                <w:highlight w:val="none"/>
              </w:rPr>
            </w:pPr>
            <w:r>
              <w:rPr>
                <w:rStyle w:val="97"/>
                <w:rFonts w:hint="eastAsia" w:ascii="Times New Roman" w:hAnsi="Times New Roman" w:eastAsia="宋体" w:cs="Times New Roman"/>
                <w:color w:val="auto"/>
                <w:sz w:val="24"/>
                <w:szCs w:val="24"/>
                <w:highlight w:val="none"/>
              </w:rPr>
              <w:t>2.资格承诺声明函；</w:t>
            </w:r>
          </w:p>
          <w:p w14:paraId="00F9B8EC">
            <w:pPr>
              <w:pageBreakBefore w:val="0"/>
              <w:kinsoku/>
              <w:wordWrap/>
              <w:overflowPunct/>
              <w:autoSpaceDE/>
              <w:autoSpaceDN/>
              <w:bidi w:val="0"/>
              <w:spacing w:after="0" w:line="560" w:lineRule="exact"/>
              <w:jc w:val="left"/>
              <w:textAlignment w:val="auto"/>
              <w:rPr>
                <w:rStyle w:val="97"/>
                <w:rFonts w:hint="eastAsia" w:ascii="Times New Roman" w:hAnsi="Times New Roman" w:eastAsia="宋体" w:cs="Times New Roman"/>
                <w:color w:val="auto"/>
                <w:sz w:val="24"/>
                <w:szCs w:val="24"/>
                <w:highlight w:val="none"/>
              </w:rPr>
            </w:pPr>
            <w:r>
              <w:rPr>
                <w:rStyle w:val="97"/>
                <w:rFonts w:hint="eastAsia" w:ascii="Times New Roman" w:hAnsi="Times New Roman" w:eastAsia="宋体" w:cs="Times New Roman"/>
                <w:color w:val="auto"/>
                <w:sz w:val="24"/>
                <w:szCs w:val="24"/>
                <w:highlight w:val="none"/>
              </w:rPr>
              <w:t>3.供应商</w:t>
            </w:r>
            <w:r>
              <w:rPr>
                <w:rStyle w:val="97"/>
                <w:rFonts w:hint="eastAsia" w:ascii="Times New Roman" w:hAnsi="Times New Roman" w:eastAsia="宋体" w:cs="Times New Roman"/>
                <w:color w:val="auto"/>
                <w:sz w:val="24"/>
                <w:szCs w:val="24"/>
                <w:highlight w:val="none"/>
                <w:lang w:val="en-US" w:eastAsia="zh-CN"/>
              </w:rPr>
              <w:t>未被</w:t>
            </w:r>
            <w:r>
              <w:rPr>
                <w:rStyle w:val="97"/>
                <w:rFonts w:hint="eastAsia" w:ascii="Times New Roman" w:hAnsi="Times New Roman" w:eastAsia="宋体" w:cs="Times New Roman"/>
                <w:color w:val="auto"/>
                <w:sz w:val="24"/>
                <w:szCs w:val="24"/>
                <w:highlight w:val="none"/>
              </w:rPr>
              <w:t>列入失信被执行人、重大税收违法失信主体、政府采购严重违法失信行为记录名单【信用信息查询渠道：“信用中国”网站（www.creditchina.gov.cn）和“中国政府采购网”（www.ccgp.gov.cn）】</w:t>
            </w:r>
          </w:p>
        </w:tc>
      </w:tr>
      <w:tr w14:paraId="3FC1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CD76A4A">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9</w:t>
            </w:r>
          </w:p>
        </w:tc>
        <w:tc>
          <w:tcPr>
            <w:tcW w:w="1838" w:type="dxa"/>
            <w:vAlign w:val="center"/>
          </w:tcPr>
          <w:p w14:paraId="1270A171">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是否接受联合体响应</w:t>
            </w:r>
          </w:p>
        </w:tc>
        <w:tc>
          <w:tcPr>
            <w:tcW w:w="6811" w:type="dxa"/>
            <w:vAlign w:val="center"/>
          </w:tcPr>
          <w:p w14:paraId="043E4F8F">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不接受</w:t>
            </w:r>
          </w:p>
        </w:tc>
      </w:tr>
      <w:tr w14:paraId="0DA57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A67CAF7">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10</w:t>
            </w:r>
          </w:p>
        </w:tc>
        <w:tc>
          <w:tcPr>
            <w:tcW w:w="1838" w:type="dxa"/>
            <w:vAlign w:val="center"/>
          </w:tcPr>
          <w:p w14:paraId="21826964">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分包</w:t>
            </w:r>
          </w:p>
        </w:tc>
        <w:tc>
          <w:tcPr>
            <w:tcW w:w="6811" w:type="dxa"/>
            <w:vAlign w:val="center"/>
          </w:tcPr>
          <w:p w14:paraId="26295D02">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不允许</w:t>
            </w:r>
          </w:p>
        </w:tc>
      </w:tr>
      <w:tr w14:paraId="44E33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2556B0FC">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11</w:t>
            </w:r>
          </w:p>
        </w:tc>
        <w:tc>
          <w:tcPr>
            <w:tcW w:w="1838" w:type="dxa"/>
            <w:vAlign w:val="center"/>
          </w:tcPr>
          <w:p w14:paraId="6BA12105">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获取竞争性磋商文件时间</w:t>
            </w:r>
          </w:p>
        </w:tc>
        <w:tc>
          <w:tcPr>
            <w:tcW w:w="6811" w:type="dxa"/>
            <w:vAlign w:val="center"/>
          </w:tcPr>
          <w:p w14:paraId="5995F416">
            <w:pPr>
              <w:pageBreakBefore w:val="0"/>
              <w:kinsoku/>
              <w:wordWrap/>
              <w:overflowPunct/>
              <w:autoSpaceDE/>
              <w:autoSpaceDN/>
              <w:bidi w:val="0"/>
              <w:spacing w:after="0" w:line="560" w:lineRule="exact"/>
              <w:textAlignment w:val="auto"/>
              <w:rPr>
                <w:rStyle w:val="97"/>
                <w:rFonts w:hint="default" w:eastAsia="宋体"/>
                <w:color w:val="auto"/>
                <w:sz w:val="24"/>
                <w:szCs w:val="24"/>
                <w:highlight w:val="none"/>
                <w:lang w:val="en-US" w:eastAsia="zh-CN"/>
              </w:rPr>
            </w:pPr>
            <w:r>
              <w:rPr>
                <w:rStyle w:val="97"/>
                <w:rFonts w:hint="eastAsia"/>
                <w:b/>
                <w:bCs/>
                <w:color w:val="auto"/>
                <w:sz w:val="24"/>
                <w:szCs w:val="24"/>
                <w:highlight w:val="none"/>
                <w:lang w:val="en-US" w:eastAsia="zh-CN"/>
              </w:rPr>
              <w:t>详见竞争性磋商公告</w:t>
            </w:r>
          </w:p>
        </w:tc>
      </w:tr>
      <w:tr w14:paraId="38B1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4C60F404">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12</w:t>
            </w:r>
          </w:p>
        </w:tc>
        <w:tc>
          <w:tcPr>
            <w:tcW w:w="1838" w:type="dxa"/>
            <w:vAlign w:val="center"/>
          </w:tcPr>
          <w:p w14:paraId="0437EA27">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获取竞争性磋商文件方式</w:t>
            </w:r>
          </w:p>
        </w:tc>
        <w:tc>
          <w:tcPr>
            <w:tcW w:w="6811" w:type="dxa"/>
            <w:vAlign w:val="center"/>
          </w:tcPr>
          <w:p w14:paraId="1E89B580">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网上领取</w:t>
            </w:r>
          </w:p>
        </w:tc>
      </w:tr>
      <w:tr w14:paraId="677B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2A9AB0D0">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13</w:t>
            </w:r>
          </w:p>
        </w:tc>
        <w:tc>
          <w:tcPr>
            <w:tcW w:w="1838" w:type="dxa"/>
            <w:vAlign w:val="center"/>
          </w:tcPr>
          <w:p w14:paraId="047DB55A">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竞争性磋商文件售价</w:t>
            </w:r>
          </w:p>
        </w:tc>
        <w:tc>
          <w:tcPr>
            <w:tcW w:w="6811" w:type="dxa"/>
            <w:vAlign w:val="center"/>
          </w:tcPr>
          <w:p w14:paraId="064A13E6">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免工本费</w:t>
            </w:r>
          </w:p>
        </w:tc>
      </w:tr>
      <w:tr w14:paraId="09F4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1D7DE1BC">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14</w:t>
            </w:r>
          </w:p>
        </w:tc>
        <w:tc>
          <w:tcPr>
            <w:tcW w:w="1838" w:type="dxa"/>
            <w:vAlign w:val="center"/>
          </w:tcPr>
          <w:p w14:paraId="2F1E3B48">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磋商文件的澄清和修改</w:t>
            </w:r>
          </w:p>
        </w:tc>
        <w:tc>
          <w:tcPr>
            <w:tcW w:w="6811" w:type="dxa"/>
            <w:vAlign w:val="center"/>
          </w:tcPr>
          <w:p w14:paraId="35878C82">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采购代理机构应当在提交响应文件截止时间至少</w:t>
            </w:r>
            <w:r>
              <w:rPr>
                <w:rStyle w:val="97"/>
                <w:color w:val="auto"/>
                <w:sz w:val="24"/>
                <w:szCs w:val="24"/>
                <w:highlight w:val="none"/>
              </w:rPr>
              <w:t>5</w:t>
            </w:r>
            <w:r>
              <w:rPr>
                <w:rStyle w:val="97"/>
                <w:rFonts w:hint="eastAsia"/>
                <w:color w:val="auto"/>
                <w:sz w:val="24"/>
                <w:szCs w:val="24"/>
                <w:highlight w:val="none"/>
              </w:rPr>
              <w:t>日前，通过郑州市公共资源交易平台通知响应单位</w:t>
            </w:r>
          </w:p>
        </w:tc>
      </w:tr>
      <w:tr w14:paraId="3ABC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822CFCB">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15</w:t>
            </w:r>
          </w:p>
        </w:tc>
        <w:tc>
          <w:tcPr>
            <w:tcW w:w="1838" w:type="dxa"/>
            <w:vAlign w:val="center"/>
          </w:tcPr>
          <w:p w14:paraId="0715B198">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磋商文件异议提出截止时间</w:t>
            </w:r>
          </w:p>
        </w:tc>
        <w:tc>
          <w:tcPr>
            <w:tcW w:w="6811" w:type="dxa"/>
            <w:vAlign w:val="center"/>
          </w:tcPr>
          <w:p w14:paraId="6F90E8EE">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递交响应文件截止时间</w:t>
            </w:r>
            <w:r>
              <w:rPr>
                <w:rStyle w:val="97"/>
                <w:color w:val="auto"/>
                <w:sz w:val="24"/>
                <w:szCs w:val="24"/>
                <w:highlight w:val="none"/>
              </w:rPr>
              <w:t>5</w:t>
            </w:r>
            <w:r>
              <w:rPr>
                <w:rStyle w:val="97"/>
                <w:rFonts w:hint="eastAsia"/>
                <w:color w:val="auto"/>
                <w:sz w:val="24"/>
                <w:szCs w:val="24"/>
                <w:highlight w:val="none"/>
              </w:rPr>
              <w:t>日前。</w:t>
            </w:r>
          </w:p>
        </w:tc>
      </w:tr>
      <w:tr w14:paraId="5E0B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FA342C1">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16</w:t>
            </w:r>
          </w:p>
        </w:tc>
        <w:tc>
          <w:tcPr>
            <w:tcW w:w="1838" w:type="dxa"/>
            <w:vAlign w:val="center"/>
          </w:tcPr>
          <w:p w14:paraId="1E6A43B5">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踏勘现场</w:t>
            </w:r>
          </w:p>
        </w:tc>
        <w:tc>
          <w:tcPr>
            <w:tcW w:w="6811" w:type="dxa"/>
            <w:vAlign w:val="center"/>
          </w:tcPr>
          <w:p w14:paraId="0A8AB047">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不组织</w:t>
            </w:r>
          </w:p>
        </w:tc>
      </w:tr>
      <w:tr w14:paraId="74CE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248E5B6B">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17</w:t>
            </w:r>
          </w:p>
        </w:tc>
        <w:tc>
          <w:tcPr>
            <w:tcW w:w="1838" w:type="dxa"/>
            <w:vAlign w:val="center"/>
          </w:tcPr>
          <w:p w14:paraId="29C7386A">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提交响应文件截止及磋商时间</w:t>
            </w:r>
          </w:p>
        </w:tc>
        <w:tc>
          <w:tcPr>
            <w:tcW w:w="6811" w:type="dxa"/>
            <w:vAlign w:val="center"/>
          </w:tcPr>
          <w:p w14:paraId="076DA533">
            <w:pPr>
              <w:pageBreakBefore w:val="0"/>
              <w:kinsoku/>
              <w:wordWrap/>
              <w:overflowPunct/>
              <w:autoSpaceDE/>
              <w:autoSpaceDN/>
              <w:bidi w:val="0"/>
              <w:spacing w:after="0" w:line="560" w:lineRule="exact"/>
              <w:textAlignment w:val="auto"/>
              <w:rPr>
                <w:rStyle w:val="97"/>
                <w:rFonts w:hint="default" w:eastAsia="宋体" w:cs="宋体"/>
                <w:b/>
                <w:bCs/>
                <w:color w:val="auto"/>
                <w:sz w:val="24"/>
                <w:szCs w:val="24"/>
                <w:highlight w:val="none"/>
                <w:lang w:val="en-US" w:eastAsia="zh-CN"/>
              </w:rPr>
            </w:pPr>
            <w:r>
              <w:rPr>
                <w:rStyle w:val="97"/>
                <w:rFonts w:hint="eastAsia" w:cs="宋体"/>
                <w:b/>
                <w:bCs/>
                <w:color w:val="auto"/>
                <w:sz w:val="24"/>
                <w:szCs w:val="24"/>
                <w:highlight w:val="none"/>
                <w:lang w:val="en-US" w:eastAsia="zh-CN"/>
              </w:rPr>
              <w:t>详见竞争性磋商公告</w:t>
            </w:r>
          </w:p>
        </w:tc>
      </w:tr>
      <w:tr w14:paraId="293E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5" w:type="dxa"/>
            <w:vAlign w:val="center"/>
          </w:tcPr>
          <w:p w14:paraId="03DC0AD4">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18</w:t>
            </w:r>
          </w:p>
        </w:tc>
        <w:tc>
          <w:tcPr>
            <w:tcW w:w="1838" w:type="dxa"/>
            <w:vAlign w:val="center"/>
          </w:tcPr>
          <w:p w14:paraId="49D1D322">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开标地点</w:t>
            </w:r>
          </w:p>
        </w:tc>
        <w:tc>
          <w:tcPr>
            <w:tcW w:w="6811" w:type="dxa"/>
            <w:vAlign w:val="center"/>
          </w:tcPr>
          <w:p w14:paraId="3147E601">
            <w:pPr>
              <w:pageBreakBefore w:val="0"/>
              <w:kinsoku/>
              <w:wordWrap/>
              <w:overflowPunct/>
              <w:autoSpaceDE/>
              <w:autoSpaceDN/>
              <w:bidi w:val="0"/>
              <w:spacing w:after="0" w:line="560" w:lineRule="exact"/>
              <w:textAlignment w:val="auto"/>
              <w:rPr>
                <w:rStyle w:val="97"/>
                <w:rFonts w:cs="宋体"/>
                <w:b/>
                <w:bCs/>
                <w:color w:val="auto"/>
                <w:sz w:val="24"/>
                <w:szCs w:val="24"/>
                <w:highlight w:val="none"/>
              </w:rPr>
            </w:pPr>
            <w:r>
              <w:rPr>
                <w:rStyle w:val="97"/>
                <w:rFonts w:hint="eastAsia"/>
                <w:color w:val="auto"/>
                <w:kern w:val="0"/>
                <w:sz w:val="24"/>
                <w:szCs w:val="24"/>
                <w:highlight w:val="none"/>
              </w:rPr>
              <w:t>地点：</w:t>
            </w:r>
            <w:r>
              <w:rPr>
                <w:rStyle w:val="97"/>
                <w:rFonts w:hint="eastAsia"/>
                <w:color w:val="auto"/>
                <w:kern w:val="0"/>
                <w:sz w:val="24"/>
                <w:szCs w:val="24"/>
                <w:highlight w:val="none"/>
                <w:lang w:val="en-US" w:eastAsia="zh-CN"/>
              </w:rPr>
              <w:t>供应商</w:t>
            </w:r>
            <w:r>
              <w:rPr>
                <w:rStyle w:val="97"/>
                <w:rFonts w:hint="eastAsia"/>
                <w:color w:val="auto"/>
                <w:kern w:val="0"/>
                <w:sz w:val="24"/>
                <w:szCs w:val="24"/>
                <w:highlight w:val="none"/>
              </w:rPr>
              <w:t>凭CA数字证书，进入郑州市公共资源交易中心不见面开标大厅（http://zzggzy.zhengzhou.gov.cn/BidOpening），按提示进行</w:t>
            </w:r>
            <w:r>
              <w:rPr>
                <w:rStyle w:val="97"/>
                <w:rFonts w:hint="eastAsia"/>
                <w:color w:val="auto"/>
                <w:kern w:val="0"/>
                <w:sz w:val="24"/>
                <w:szCs w:val="24"/>
                <w:highlight w:val="none"/>
                <w:lang w:val="en-US" w:eastAsia="zh-CN"/>
              </w:rPr>
              <w:t>响应</w:t>
            </w:r>
            <w:r>
              <w:rPr>
                <w:rStyle w:val="97"/>
                <w:rFonts w:hint="eastAsia"/>
                <w:color w:val="auto"/>
                <w:kern w:val="0"/>
                <w:sz w:val="24"/>
                <w:szCs w:val="24"/>
                <w:highlight w:val="none"/>
              </w:rPr>
              <w:t>文件的解密。</w:t>
            </w:r>
          </w:p>
        </w:tc>
      </w:tr>
      <w:tr w14:paraId="3E89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5" w:type="dxa"/>
            <w:vAlign w:val="center"/>
          </w:tcPr>
          <w:p w14:paraId="3536CABD">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19</w:t>
            </w:r>
          </w:p>
        </w:tc>
        <w:tc>
          <w:tcPr>
            <w:tcW w:w="8649" w:type="dxa"/>
            <w:gridSpan w:val="2"/>
            <w:vAlign w:val="center"/>
          </w:tcPr>
          <w:p w14:paraId="51D94F8B">
            <w:pPr>
              <w:pageBreakBefore w:val="0"/>
              <w:kinsoku/>
              <w:wordWrap/>
              <w:overflowPunct/>
              <w:autoSpaceDE/>
              <w:autoSpaceDN/>
              <w:bidi w:val="0"/>
              <w:spacing w:after="0" w:line="560" w:lineRule="exact"/>
              <w:jc w:val="left"/>
              <w:textAlignment w:val="auto"/>
              <w:rPr>
                <w:rStyle w:val="97"/>
                <w:color w:val="auto"/>
                <w:sz w:val="24"/>
                <w:szCs w:val="24"/>
                <w:highlight w:val="none"/>
              </w:rPr>
            </w:pPr>
            <w:r>
              <w:rPr>
                <w:rStyle w:val="97"/>
                <w:rFonts w:hint="eastAsia"/>
                <w:color w:val="auto"/>
                <w:kern w:val="0"/>
                <w:sz w:val="24"/>
                <w:szCs w:val="24"/>
                <w:highlight w:val="none"/>
              </w:rPr>
              <w:t>本项目实行电子开评标，获取竞争性磋商文件后，请供应商在“郑州市公共资源交易中心网站（http://zzggzy.zhengzhou.gov.cn/）”首页“办事指南”栏目中下载最新版本的“郑州投标文件制作工具及操作手册”，安装工具软件后，使用“文件查看工具”打开竞争性磋商文件认真阅读。制作电子响应文件时必须使用“投标文件制作软件”。①加密的电子响应文件（</w:t>
            </w:r>
            <w:r>
              <w:rPr>
                <w:rStyle w:val="97"/>
                <w:color w:val="auto"/>
                <w:kern w:val="0"/>
                <w:sz w:val="24"/>
                <w:szCs w:val="24"/>
                <w:highlight w:val="none"/>
              </w:rPr>
              <w:t xml:space="preserve">.ZZTF </w:t>
            </w:r>
            <w:r>
              <w:rPr>
                <w:rStyle w:val="97"/>
                <w:rFonts w:hint="eastAsia"/>
                <w:color w:val="auto"/>
                <w:kern w:val="0"/>
                <w:sz w:val="24"/>
                <w:szCs w:val="24"/>
                <w:highlight w:val="none"/>
              </w:rPr>
              <w:t>格式）须在截止时间前通过“郑州市公共资源交易中心”电子交易平台加密上传；②开标时，请使用本单位ca锁进行文件解密工作。③本</w:t>
            </w:r>
            <w:r>
              <w:rPr>
                <w:rStyle w:val="97"/>
                <w:rFonts w:hint="eastAsia"/>
                <w:color w:val="auto"/>
                <w:sz w:val="24"/>
                <w:szCs w:val="24"/>
                <w:highlight w:val="none"/>
              </w:rPr>
              <w:t>项目二次报价采用网上报价（二次报价有时间限制，供应商如在交易平台系统规定时间内二次报价没有提交成功的，其第一次报价视为最终报价）。</w:t>
            </w:r>
          </w:p>
        </w:tc>
      </w:tr>
      <w:tr w14:paraId="5473B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7FEE39AE">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20</w:t>
            </w:r>
          </w:p>
        </w:tc>
        <w:tc>
          <w:tcPr>
            <w:tcW w:w="1838" w:type="dxa"/>
            <w:vAlign w:val="center"/>
          </w:tcPr>
          <w:p w14:paraId="1A28D112">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lang w:val="en-US" w:eastAsia="zh-CN"/>
              </w:rPr>
              <w:t>招标</w:t>
            </w:r>
            <w:r>
              <w:rPr>
                <w:rStyle w:val="97"/>
                <w:rFonts w:hint="eastAsia"/>
                <w:color w:val="auto"/>
                <w:sz w:val="24"/>
                <w:szCs w:val="24"/>
                <w:highlight w:val="none"/>
              </w:rPr>
              <w:t>代理</w:t>
            </w:r>
            <w:r>
              <w:rPr>
                <w:rStyle w:val="97"/>
                <w:rFonts w:hint="eastAsia"/>
                <w:color w:val="auto"/>
                <w:sz w:val="24"/>
                <w:szCs w:val="24"/>
                <w:highlight w:val="none"/>
                <w:lang w:val="en-US" w:eastAsia="zh-CN"/>
              </w:rPr>
              <w:t>服务</w:t>
            </w:r>
            <w:r>
              <w:rPr>
                <w:rStyle w:val="97"/>
                <w:rFonts w:hint="eastAsia"/>
                <w:color w:val="auto"/>
                <w:sz w:val="24"/>
                <w:szCs w:val="24"/>
                <w:highlight w:val="none"/>
              </w:rPr>
              <w:t>费</w:t>
            </w:r>
          </w:p>
        </w:tc>
        <w:tc>
          <w:tcPr>
            <w:tcW w:w="6811" w:type="dxa"/>
            <w:vAlign w:val="center"/>
          </w:tcPr>
          <w:p w14:paraId="7E424A24">
            <w:pPr>
              <w:pageBreakBefore w:val="0"/>
              <w:kinsoku/>
              <w:wordWrap/>
              <w:overflowPunct/>
              <w:autoSpaceDE/>
              <w:autoSpaceDN/>
              <w:bidi w:val="0"/>
              <w:spacing w:after="0" w:line="560" w:lineRule="exact"/>
              <w:textAlignment w:val="auto"/>
              <w:rPr>
                <w:rStyle w:val="97"/>
                <w:rFonts w:hint="eastAsia"/>
                <w:color w:val="auto"/>
                <w:sz w:val="24"/>
                <w:szCs w:val="24"/>
                <w:highlight w:val="none"/>
              </w:rPr>
            </w:pPr>
            <w:r>
              <w:rPr>
                <w:rStyle w:val="97"/>
                <w:color w:val="auto"/>
                <w:sz w:val="24"/>
                <w:szCs w:val="24"/>
                <w:highlight w:val="none"/>
              </w:rPr>
              <w:t>1</w:t>
            </w:r>
            <w:r>
              <w:rPr>
                <w:rStyle w:val="97"/>
                <w:rFonts w:hint="eastAsia"/>
                <w:color w:val="auto"/>
                <w:sz w:val="24"/>
                <w:szCs w:val="24"/>
                <w:highlight w:val="none"/>
              </w:rPr>
              <w:t>、</w:t>
            </w:r>
            <w:r>
              <w:rPr>
                <w:rStyle w:val="97"/>
                <w:rFonts w:hint="eastAsia"/>
                <w:color w:val="auto"/>
                <w:sz w:val="24"/>
                <w:szCs w:val="24"/>
                <w:highlight w:val="none"/>
                <w:lang w:val="en-US" w:eastAsia="zh-CN"/>
              </w:rPr>
              <w:t>缴纳时间：</w:t>
            </w:r>
            <w:r>
              <w:rPr>
                <w:rStyle w:val="97"/>
                <w:rFonts w:hint="eastAsia"/>
                <w:color w:val="auto"/>
                <w:sz w:val="24"/>
                <w:szCs w:val="24"/>
                <w:highlight w:val="none"/>
              </w:rPr>
              <w:t>在领取</w:t>
            </w:r>
            <w:r>
              <w:rPr>
                <w:rStyle w:val="97"/>
                <w:rFonts w:hint="eastAsia"/>
                <w:color w:val="auto"/>
                <w:sz w:val="24"/>
                <w:szCs w:val="24"/>
                <w:highlight w:val="none"/>
                <w:lang w:val="en-US" w:eastAsia="zh-CN"/>
              </w:rPr>
              <w:t>成交</w:t>
            </w:r>
            <w:r>
              <w:rPr>
                <w:rStyle w:val="97"/>
                <w:rFonts w:hint="eastAsia"/>
                <w:color w:val="auto"/>
                <w:sz w:val="24"/>
                <w:szCs w:val="24"/>
                <w:highlight w:val="none"/>
              </w:rPr>
              <w:t>通知书</w:t>
            </w:r>
            <w:r>
              <w:rPr>
                <w:rStyle w:val="97"/>
                <w:rFonts w:hint="eastAsia"/>
                <w:color w:val="auto"/>
                <w:sz w:val="24"/>
                <w:szCs w:val="24"/>
                <w:highlight w:val="none"/>
                <w:lang w:val="en-US" w:eastAsia="zh-CN"/>
              </w:rPr>
              <w:t>前</w:t>
            </w:r>
            <w:r>
              <w:rPr>
                <w:rStyle w:val="97"/>
                <w:rFonts w:hint="eastAsia"/>
                <w:color w:val="auto"/>
                <w:sz w:val="24"/>
                <w:szCs w:val="24"/>
                <w:highlight w:val="none"/>
              </w:rPr>
              <w:t>缴纳中标服务费。</w:t>
            </w:r>
          </w:p>
          <w:p w14:paraId="68BDED8F">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lang w:val="en-US" w:eastAsia="zh-CN"/>
              </w:rPr>
              <w:t>2、</w:t>
            </w:r>
            <w:r>
              <w:rPr>
                <w:rStyle w:val="97"/>
                <w:rFonts w:hint="eastAsia"/>
                <w:color w:val="auto"/>
                <w:sz w:val="24"/>
                <w:szCs w:val="24"/>
                <w:highlight w:val="none"/>
              </w:rPr>
              <w:t>本项目招标代理服务费参照河南省招标投标协会豫招协【2023】002号文件标准规定，由中标人支付。</w:t>
            </w:r>
          </w:p>
        </w:tc>
      </w:tr>
      <w:tr w14:paraId="4973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5" w:type="dxa"/>
            <w:vAlign w:val="center"/>
          </w:tcPr>
          <w:p w14:paraId="28F4C2F1">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21</w:t>
            </w:r>
          </w:p>
        </w:tc>
        <w:tc>
          <w:tcPr>
            <w:tcW w:w="1838" w:type="dxa"/>
            <w:vAlign w:val="center"/>
          </w:tcPr>
          <w:p w14:paraId="2815CB54">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磋商小组</w:t>
            </w:r>
          </w:p>
        </w:tc>
        <w:tc>
          <w:tcPr>
            <w:tcW w:w="6811" w:type="dxa"/>
            <w:vAlign w:val="center"/>
          </w:tcPr>
          <w:p w14:paraId="63E2A098">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磋商小组构成：</w:t>
            </w:r>
            <w:r>
              <w:rPr>
                <w:rStyle w:val="97"/>
                <w:color w:val="auto"/>
                <w:sz w:val="24"/>
                <w:szCs w:val="24"/>
                <w:highlight w:val="none"/>
              </w:rPr>
              <w:t xml:space="preserve"> 3</w:t>
            </w:r>
            <w:r>
              <w:rPr>
                <w:rStyle w:val="97"/>
                <w:rFonts w:hint="eastAsia"/>
                <w:color w:val="auto"/>
                <w:sz w:val="24"/>
                <w:szCs w:val="24"/>
                <w:highlight w:val="none"/>
              </w:rPr>
              <w:t>人，其中采购人代表</w:t>
            </w:r>
            <w:r>
              <w:rPr>
                <w:rStyle w:val="97"/>
                <w:color w:val="auto"/>
                <w:sz w:val="24"/>
                <w:szCs w:val="24"/>
                <w:highlight w:val="none"/>
              </w:rPr>
              <w:t>1</w:t>
            </w:r>
            <w:r>
              <w:rPr>
                <w:rStyle w:val="97"/>
                <w:rFonts w:hint="eastAsia"/>
                <w:color w:val="auto"/>
                <w:sz w:val="24"/>
                <w:szCs w:val="24"/>
                <w:highlight w:val="none"/>
              </w:rPr>
              <w:t>人，</w:t>
            </w:r>
            <w:r>
              <w:rPr>
                <w:rStyle w:val="97"/>
                <w:rFonts w:hint="eastAsia"/>
                <w:color w:val="auto"/>
                <w:sz w:val="24"/>
                <w:szCs w:val="24"/>
                <w:highlight w:val="none"/>
                <w:lang w:val="en-US" w:eastAsia="zh-CN"/>
              </w:rPr>
              <w:t>评审专家</w:t>
            </w:r>
            <w:r>
              <w:rPr>
                <w:rStyle w:val="97"/>
                <w:color w:val="auto"/>
                <w:sz w:val="24"/>
                <w:szCs w:val="24"/>
                <w:highlight w:val="none"/>
              </w:rPr>
              <w:t>2</w:t>
            </w:r>
            <w:r>
              <w:rPr>
                <w:rStyle w:val="97"/>
                <w:rFonts w:hint="eastAsia"/>
                <w:color w:val="auto"/>
                <w:sz w:val="24"/>
                <w:szCs w:val="24"/>
                <w:highlight w:val="none"/>
              </w:rPr>
              <w:t>人；</w:t>
            </w:r>
          </w:p>
          <w:p w14:paraId="540528C0">
            <w:pPr>
              <w:pageBreakBefore w:val="0"/>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lang w:val="en-US" w:eastAsia="zh-CN"/>
              </w:rPr>
              <w:t>评审</w:t>
            </w:r>
            <w:r>
              <w:rPr>
                <w:rStyle w:val="97"/>
                <w:rFonts w:hint="eastAsia"/>
                <w:color w:val="auto"/>
                <w:sz w:val="24"/>
                <w:szCs w:val="24"/>
                <w:highlight w:val="none"/>
              </w:rPr>
              <w:t>专家确定方式：磋商前从政府采购专家库中随机抽取。</w:t>
            </w:r>
          </w:p>
        </w:tc>
      </w:tr>
      <w:tr w14:paraId="2DA58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565" w:type="dxa"/>
            <w:vAlign w:val="center"/>
          </w:tcPr>
          <w:p w14:paraId="1DE90A76">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22</w:t>
            </w:r>
          </w:p>
        </w:tc>
        <w:tc>
          <w:tcPr>
            <w:tcW w:w="1838" w:type="dxa"/>
            <w:vAlign w:val="center"/>
          </w:tcPr>
          <w:p w14:paraId="1DDEE3B2">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合同的授予和执行</w:t>
            </w:r>
          </w:p>
        </w:tc>
        <w:tc>
          <w:tcPr>
            <w:tcW w:w="6811" w:type="dxa"/>
            <w:vAlign w:val="center"/>
          </w:tcPr>
          <w:p w14:paraId="3CAE6E62">
            <w:pPr>
              <w:pageBreakBefore w:val="0"/>
              <w:tabs>
                <w:tab w:val="left" w:pos="3584"/>
              </w:tabs>
              <w:kinsoku/>
              <w:wordWrap/>
              <w:overflowPunct/>
              <w:autoSpaceDE/>
              <w:autoSpaceDN/>
              <w:bidi w:val="0"/>
              <w:spacing w:after="0" w:line="560" w:lineRule="exact"/>
              <w:textAlignment w:val="auto"/>
              <w:rPr>
                <w:rStyle w:val="97"/>
                <w:color w:val="auto"/>
                <w:sz w:val="24"/>
                <w:szCs w:val="24"/>
                <w:highlight w:val="none"/>
              </w:rPr>
            </w:pPr>
            <w:r>
              <w:rPr>
                <w:rStyle w:val="97"/>
                <w:rFonts w:hint="eastAsia"/>
                <w:color w:val="auto"/>
                <w:sz w:val="24"/>
                <w:szCs w:val="24"/>
                <w:highlight w:val="none"/>
              </w:rPr>
              <w:t>应当在成交通知书发出之日起2</w:t>
            </w:r>
            <w:r>
              <w:rPr>
                <w:rStyle w:val="97"/>
                <w:rFonts w:hint="eastAsia"/>
                <w:color w:val="auto"/>
                <w:sz w:val="24"/>
                <w:szCs w:val="24"/>
                <w:highlight w:val="none"/>
                <w:lang w:val="en-US" w:eastAsia="zh-CN"/>
              </w:rPr>
              <w:t>个工作</w:t>
            </w:r>
            <w:r>
              <w:rPr>
                <w:rStyle w:val="97"/>
                <w:rFonts w:hint="eastAsia"/>
                <w:color w:val="auto"/>
                <w:sz w:val="24"/>
                <w:szCs w:val="24"/>
                <w:highlight w:val="none"/>
              </w:rPr>
              <w:t>日内签订合同。</w:t>
            </w:r>
          </w:p>
        </w:tc>
      </w:tr>
      <w:tr w14:paraId="6D80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565" w:type="dxa"/>
            <w:vAlign w:val="center"/>
          </w:tcPr>
          <w:p w14:paraId="4AA5F722">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color w:val="auto"/>
                <w:sz w:val="24"/>
                <w:szCs w:val="24"/>
                <w:highlight w:val="none"/>
              </w:rPr>
              <w:t>23</w:t>
            </w:r>
          </w:p>
        </w:tc>
        <w:tc>
          <w:tcPr>
            <w:tcW w:w="1838" w:type="dxa"/>
            <w:vAlign w:val="center"/>
          </w:tcPr>
          <w:p w14:paraId="0793D274">
            <w:pPr>
              <w:pageBreakBefore w:val="0"/>
              <w:tabs>
                <w:tab w:val="left" w:pos="3584"/>
              </w:tabs>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政府强制采购和优先采购的节能产品、环境标志产品</w:t>
            </w:r>
          </w:p>
        </w:tc>
        <w:tc>
          <w:tcPr>
            <w:tcW w:w="6811" w:type="dxa"/>
            <w:vAlign w:val="center"/>
          </w:tcPr>
          <w:p w14:paraId="47E18358">
            <w:pPr>
              <w:pageBreakBefore w:val="0"/>
              <w:kinsoku/>
              <w:wordWrap/>
              <w:overflowPunct/>
              <w:autoSpaceDE/>
              <w:autoSpaceDN/>
              <w:bidi w:val="0"/>
              <w:spacing w:after="0" w:line="560" w:lineRule="exact"/>
              <w:ind w:firstLine="480" w:firstLineChars="200"/>
              <w:textAlignment w:val="auto"/>
              <w:rPr>
                <w:rStyle w:val="97"/>
                <w:color w:val="auto"/>
                <w:sz w:val="24"/>
                <w:szCs w:val="24"/>
                <w:highlight w:val="none"/>
              </w:rPr>
            </w:pPr>
            <w:r>
              <w:rPr>
                <w:rStyle w:val="97"/>
                <w:rFonts w:hint="eastAsia"/>
                <w:color w:val="auto"/>
                <w:sz w:val="24"/>
                <w:szCs w:val="24"/>
                <w:highlight w:val="none"/>
              </w:rPr>
              <w:t>政府强制采购和优先采购的节能产品、环境标志产品。</w:t>
            </w:r>
          </w:p>
          <w:p w14:paraId="2E793F80">
            <w:pPr>
              <w:pageBreakBefore w:val="0"/>
              <w:kinsoku/>
              <w:wordWrap/>
              <w:overflowPunct/>
              <w:autoSpaceDE/>
              <w:autoSpaceDN/>
              <w:bidi w:val="0"/>
              <w:spacing w:after="0" w:line="560" w:lineRule="exact"/>
              <w:ind w:firstLine="480" w:firstLineChars="200"/>
              <w:textAlignment w:val="auto"/>
              <w:rPr>
                <w:rStyle w:val="97"/>
                <w:color w:val="auto"/>
                <w:sz w:val="24"/>
                <w:szCs w:val="24"/>
                <w:highlight w:val="none"/>
              </w:rPr>
            </w:pPr>
            <w:r>
              <w:rPr>
                <w:rStyle w:val="97"/>
                <w:rFonts w:hint="eastAsia"/>
                <w:color w:val="auto"/>
                <w:sz w:val="24"/>
                <w:szCs w:val="24"/>
                <w:highlight w:val="none"/>
              </w:rPr>
              <w:t>依据财库〔</w:t>
            </w:r>
            <w:r>
              <w:rPr>
                <w:rStyle w:val="97"/>
                <w:color w:val="auto"/>
                <w:sz w:val="24"/>
                <w:szCs w:val="24"/>
                <w:highlight w:val="none"/>
              </w:rPr>
              <w:t>2019</w:t>
            </w:r>
            <w:r>
              <w:rPr>
                <w:rStyle w:val="97"/>
                <w:rFonts w:hint="eastAsia"/>
                <w:color w:val="auto"/>
                <w:sz w:val="24"/>
                <w:szCs w:val="24"/>
                <w:highlight w:val="none"/>
              </w:rPr>
              <w:t>〕</w:t>
            </w:r>
            <w:r>
              <w:rPr>
                <w:rStyle w:val="97"/>
                <w:color w:val="auto"/>
                <w:sz w:val="24"/>
                <w:szCs w:val="24"/>
                <w:highlight w:val="none"/>
              </w:rPr>
              <w:t>9</w:t>
            </w:r>
            <w:r>
              <w:rPr>
                <w:rStyle w:val="97"/>
                <w:rFonts w:hint="eastAsia"/>
                <w:color w:val="auto"/>
                <w:sz w:val="24"/>
                <w:szCs w:val="24"/>
                <w:highlight w:val="none"/>
              </w:rPr>
              <w:t>号“财政部发展改革委生态环境部市场监管总局关于调整优化节能产品、环境标志产品政府采购执行机制的通知”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DAE47DC">
            <w:pPr>
              <w:pageBreakBefore w:val="0"/>
              <w:kinsoku/>
              <w:wordWrap/>
              <w:overflowPunct/>
              <w:autoSpaceDE/>
              <w:autoSpaceDN/>
              <w:bidi w:val="0"/>
              <w:spacing w:after="0" w:line="560" w:lineRule="exact"/>
              <w:ind w:firstLine="480" w:firstLineChars="200"/>
              <w:textAlignment w:val="auto"/>
              <w:rPr>
                <w:rStyle w:val="97"/>
                <w:color w:val="auto"/>
                <w:sz w:val="24"/>
                <w:szCs w:val="24"/>
                <w:highlight w:val="none"/>
              </w:rPr>
            </w:pPr>
            <w:r>
              <w:rPr>
                <w:rStyle w:val="97"/>
                <w:rFonts w:hint="eastAsia"/>
                <w:color w:val="auto"/>
                <w:sz w:val="24"/>
                <w:szCs w:val="24"/>
                <w:highlight w:val="none"/>
              </w:rPr>
              <w:t>依据品目清单和认证证书实施政府优先采购和强制采购。采购人拟采购的产品属于品目清单范围的，应当依据国家确定的认证机构出具的、处于有效期之内的节能产品、环境标志产品认证证书，对获得证书的产品实施政府优先采购或强制采购。</w:t>
            </w:r>
          </w:p>
          <w:p w14:paraId="1CF02195">
            <w:pPr>
              <w:pageBreakBefore w:val="0"/>
              <w:kinsoku/>
              <w:wordWrap/>
              <w:overflowPunct/>
              <w:autoSpaceDE/>
              <w:autoSpaceDN/>
              <w:bidi w:val="0"/>
              <w:spacing w:after="0" w:line="560" w:lineRule="exact"/>
              <w:ind w:firstLine="360" w:firstLineChars="150"/>
              <w:jc w:val="left"/>
              <w:textAlignment w:val="auto"/>
              <w:rPr>
                <w:rStyle w:val="97"/>
                <w:color w:val="auto"/>
                <w:sz w:val="24"/>
                <w:szCs w:val="24"/>
                <w:highlight w:val="none"/>
              </w:rPr>
            </w:pPr>
            <w:r>
              <w:rPr>
                <w:rStyle w:val="97"/>
                <w:rFonts w:hint="eastAsia"/>
                <w:color w:val="auto"/>
                <w:sz w:val="24"/>
                <w:szCs w:val="24"/>
                <w:highlight w:val="none"/>
              </w:rPr>
              <w:t>供应商须在响应文件中提供以下材料：</w:t>
            </w:r>
          </w:p>
          <w:p w14:paraId="7679E44F">
            <w:pPr>
              <w:pageBreakBefore w:val="0"/>
              <w:kinsoku/>
              <w:wordWrap/>
              <w:overflowPunct/>
              <w:autoSpaceDE/>
              <w:autoSpaceDN/>
              <w:bidi w:val="0"/>
              <w:spacing w:after="0" w:line="560" w:lineRule="exact"/>
              <w:ind w:firstLine="480" w:firstLineChars="200"/>
              <w:jc w:val="left"/>
              <w:textAlignment w:val="auto"/>
              <w:rPr>
                <w:rStyle w:val="97"/>
                <w:color w:val="auto"/>
                <w:sz w:val="24"/>
                <w:szCs w:val="24"/>
                <w:highlight w:val="none"/>
              </w:rPr>
            </w:pPr>
            <w:r>
              <w:rPr>
                <w:rStyle w:val="97"/>
                <w:color w:val="auto"/>
                <w:sz w:val="24"/>
                <w:szCs w:val="24"/>
                <w:highlight w:val="none"/>
              </w:rPr>
              <w:t>1.</w:t>
            </w:r>
            <w:r>
              <w:rPr>
                <w:rStyle w:val="97"/>
                <w:rFonts w:hint="eastAsia"/>
                <w:color w:val="auto"/>
                <w:sz w:val="24"/>
                <w:szCs w:val="24"/>
                <w:highlight w:val="none"/>
              </w:rPr>
              <w:t>采购人拟采购的产品属于财库〔</w:t>
            </w:r>
            <w:r>
              <w:rPr>
                <w:rStyle w:val="97"/>
                <w:color w:val="auto"/>
                <w:sz w:val="24"/>
                <w:szCs w:val="24"/>
                <w:highlight w:val="none"/>
              </w:rPr>
              <w:t>2019</w:t>
            </w:r>
            <w:r>
              <w:rPr>
                <w:rStyle w:val="97"/>
                <w:rFonts w:hint="eastAsia"/>
                <w:color w:val="auto"/>
                <w:sz w:val="24"/>
                <w:szCs w:val="24"/>
                <w:highlight w:val="none"/>
              </w:rPr>
              <w:t>〕</w:t>
            </w:r>
            <w:r>
              <w:rPr>
                <w:rStyle w:val="97"/>
                <w:color w:val="auto"/>
                <w:sz w:val="24"/>
                <w:szCs w:val="24"/>
                <w:highlight w:val="none"/>
              </w:rPr>
              <w:t>19</w:t>
            </w:r>
            <w:r>
              <w:rPr>
                <w:rStyle w:val="97"/>
                <w:rFonts w:hint="eastAsia"/>
                <w:color w:val="auto"/>
                <w:sz w:val="24"/>
                <w:szCs w:val="24"/>
                <w:highlight w:val="none"/>
              </w:rPr>
              <w:t>号《节能产品政府采购品目清单》范围内政府强制采购产品，其中以“★”标注的为政府强制采购产品。</w:t>
            </w:r>
          </w:p>
          <w:p w14:paraId="27B66F11">
            <w:pPr>
              <w:pageBreakBefore w:val="0"/>
              <w:kinsoku/>
              <w:wordWrap/>
              <w:overflowPunct/>
              <w:autoSpaceDE/>
              <w:autoSpaceDN/>
              <w:bidi w:val="0"/>
              <w:spacing w:after="0" w:line="560" w:lineRule="exact"/>
              <w:ind w:firstLine="360" w:firstLineChars="150"/>
              <w:jc w:val="left"/>
              <w:textAlignment w:val="auto"/>
              <w:rPr>
                <w:rStyle w:val="97"/>
                <w:color w:val="auto"/>
                <w:sz w:val="24"/>
                <w:szCs w:val="24"/>
                <w:highlight w:val="none"/>
              </w:rPr>
            </w:pPr>
            <w:r>
              <w:rPr>
                <w:rStyle w:val="97"/>
                <w:rFonts w:hint="eastAsia"/>
                <w:color w:val="auto"/>
                <w:sz w:val="24"/>
                <w:szCs w:val="24"/>
                <w:highlight w:val="none"/>
                <w:lang w:val="en-US" w:eastAsia="zh-CN"/>
              </w:rPr>
              <w:t>供应商</w:t>
            </w:r>
            <w:r>
              <w:rPr>
                <w:rStyle w:val="97"/>
                <w:rFonts w:hint="eastAsia"/>
                <w:color w:val="auto"/>
                <w:sz w:val="24"/>
                <w:szCs w:val="24"/>
                <w:highlight w:val="none"/>
              </w:rPr>
              <w:t>响应</w:t>
            </w:r>
            <w:r>
              <w:rPr>
                <w:rStyle w:val="97"/>
                <w:rFonts w:hint="eastAsia"/>
                <w:color w:val="auto"/>
                <w:sz w:val="24"/>
                <w:szCs w:val="24"/>
                <w:highlight w:val="none"/>
                <w:lang w:val="en-US" w:eastAsia="zh-CN"/>
              </w:rPr>
              <w:t>竞争性磋商文件</w:t>
            </w:r>
            <w:r>
              <w:rPr>
                <w:rStyle w:val="97"/>
                <w:rFonts w:hint="eastAsia"/>
                <w:color w:val="auto"/>
                <w:sz w:val="24"/>
                <w:szCs w:val="24"/>
                <w:highlight w:val="none"/>
              </w:rPr>
              <w:t>要求提供的投标产品属于《节能产品政府采购品目清单》范围的“政府强制采购产品”的</w:t>
            </w:r>
            <w:r>
              <w:rPr>
                <w:rStyle w:val="97"/>
                <w:rFonts w:hint="eastAsia" w:cs="仿宋_GB2312"/>
                <w:b/>
                <w:bCs/>
                <w:color w:val="auto"/>
                <w:sz w:val="24"/>
                <w:szCs w:val="24"/>
                <w:highlight w:val="none"/>
              </w:rPr>
              <w:t>应提供国家确定的认证机构出具的、处于有效期之内的节能产品认证证书复印件</w:t>
            </w:r>
            <w:r>
              <w:rPr>
                <w:rStyle w:val="97"/>
                <w:rFonts w:hint="eastAsia"/>
                <w:color w:val="auto"/>
                <w:sz w:val="24"/>
                <w:szCs w:val="24"/>
                <w:highlight w:val="none"/>
              </w:rPr>
              <w:t>，否则视为非实质性响应</w:t>
            </w:r>
            <w:r>
              <w:rPr>
                <w:rStyle w:val="97"/>
                <w:rFonts w:hint="eastAsia"/>
                <w:color w:val="auto"/>
                <w:sz w:val="24"/>
                <w:szCs w:val="24"/>
                <w:highlight w:val="none"/>
                <w:lang w:val="en-US" w:eastAsia="zh-CN"/>
              </w:rPr>
              <w:t>竞争性磋商文件</w:t>
            </w:r>
            <w:r>
              <w:rPr>
                <w:rStyle w:val="97"/>
                <w:rFonts w:hint="eastAsia"/>
                <w:color w:val="auto"/>
                <w:sz w:val="24"/>
                <w:szCs w:val="24"/>
                <w:highlight w:val="none"/>
              </w:rPr>
              <w:t>要求。</w:t>
            </w:r>
          </w:p>
          <w:p w14:paraId="336DEAA1">
            <w:pPr>
              <w:pageBreakBefore w:val="0"/>
              <w:kinsoku/>
              <w:wordWrap/>
              <w:overflowPunct/>
              <w:autoSpaceDE/>
              <w:autoSpaceDN/>
              <w:bidi w:val="0"/>
              <w:spacing w:after="0" w:line="560" w:lineRule="exact"/>
              <w:ind w:firstLine="480" w:firstLineChars="200"/>
              <w:jc w:val="left"/>
              <w:textAlignment w:val="auto"/>
              <w:rPr>
                <w:rStyle w:val="97"/>
                <w:color w:val="auto"/>
                <w:sz w:val="24"/>
                <w:szCs w:val="24"/>
                <w:highlight w:val="none"/>
              </w:rPr>
            </w:pPr>
            <w:r>
              <w:rPr>
                <w:rStyle w:val="97"/>
                <w:color w:val="auto"/>
                <w:sz w:val="24"/>
                <w:szCs w:val="24"/>
                <w:highlight w:val="none"/>
              </w:rPr>
              <w:t>2.</w:t>
            </w:r>
            <w:r>
              <w:rPr>
                <w:rStyle w:val="97"/>
                <w:rFonts w:hint="eastAsia"/>
                <w:color w:val="auto"/>
                <w:sz w:val="24"/>
                <w:szCs w:val="24"/>
                <w:highlight w:val="none"/>
              </w:rPr>
              <w:t>采购人拟采购的产品属于财库〔</w:t>
            </w:r>
            <w:r>
              <w:rPr>
                <w:rStyle w:val="97"/>
                <w:color w:val="auto"/>
                <w:sz w:val="24"/>
                <w:szCs w:val="24"/>
                <w:highlight w:val="none"/>
              </w:rPr>
              <w:t>2019</w:t>
            </w:r>
            <w:r>
              <w:rPr>
                <w:rStyle w:val="97"/>
                <w:rFonts w:hint="eastAsia"/>
                <w:color w:val="auto"/>
                <w:sz w:val="24"/>
                <w:szCs w:val="24"/>
                <w:highlight w:val="none"/>
              </w:rPr>
              <w:t>〕</w:t>
            </w:r>
            <w:r>
              <w:rPr>
                <w:rStyle w:val="97"/>
                <w:color w:val="auto"/>
                <w:sz w:val="24"/>
                <w:szCs w:val="24"/>
                <w:highlight w:val="none"/>
              </w:rPr>
              <w:t>19</w:t>
            </w:r>
            <w:r>
              <w:rPr>
                <w:rStyle w:val="97"/>
                <w:rFonts w:hint="eastAsia"/>
                <w:color w:val="auto"/>
                <w:sz w:val="24"/>
                <w:szCs w:val="24"/>
                <w:highlight w:val="none"/>
              </w:rPr>
              <w:t>号《节能产品政府采购品目清单》和财库〔</w:t>
            </w:r>
            <w:r>
              <w:rPr>
                <w:rStyle w:val="97"/>
                <w:color w:val="auto"/>
                <w:sz w:val="24"/>
                <w:szCs w:val="24"/>
                <w:highlight w:val="none"/>
              </w:rPr>
              <w:t>2019</w:t>
            </w:r>
            <w:r>
              <w:rPr>
                <w:rStyle w:val="97"/>
                <w:rFonts w:hint="eastAsia"/>
                <w:color w:val="auto"/>
                <w:sz w:val="24"/>
                <w:szCs w:val="24"/>
                <w:highlight w:val="none"/>
              </w:rPr>
              <w:t>〕</w:t>
            </w:r>
            <w:r>
              <w:rPr>
                <w:rStyle w:val="97"/>
                <w:color w:val="auto"/>
                <w:sz w:val="24"/>
                <w:szCs w:val="24"/>
                <w:highlight w:val="none"/>
              </w:rPr>
              <w:t>18</w:t>
            </w:r>
            <w:r>
              <w:rPr>
                <w:rStyle w:val="97"/>
                <w:rFonts w:hint="eastAsia"/>
                <w:color w:val="auto"/>
                <w:sz w:val="24"/>
                <w:szCs w:val="24"/>
                <w:highlight w:val="none"/>
              </w:rPr>
              <w:t>号《环境标志产品政府采购品目清单》范围内政府优先采购产品。</w:t>
            </w:r>
          </w:p>
          <w:p w14:paraId="1A52E593">
            <w:pPr>
              <w:pageBreakBefore w:val="0"/>
              <w:kinsoku/>
              <w:wordWrap/>
              <w:overflowPunct/>
              <w:autoSpaceDE/>
              <w:autoSpaceDN/>
              <w:bidi w:val="0"/>
              <w:spacing w:after="0" w:line="560" w:lineRule="exact"/>
              <w:ind w:firstLine="480" w:firstLineChars="200"/>
              <w:jc w:val="left"/>
              <w:textAlignment w:val="auto"/>
              <w:rPr>
                <w:rStyle w:val="97"/>
                <w:color w:val="auto"/>
                <w:sz w:val="24"/>
                <w:szCs w:val="24"/>
                <w:highlight w:val="none"/>
              </w:rPr>
            </w:pPr>
            <w:r>
              <w:rPr>
                <w:rStyle w:val="97"/>
                <w:rFonts w:hint="eastAsia"/>
                <w:color w:val="auto"/>
                <w:sz w:val="24"/>
                <w:szCs w:val="24"/>
                <w:highlight w:val="none"/>
                <w:lang w:val="en-US" w:eastAsia="zh-CN"/>
              </w:rPr>
              <w:t>供应商</w:t>
            </w:r>
            <w:r>
              <w:rPr>
                <w:rStyle w:val="97"/>
                <w:rFonts w:hint="eastAsia"/>
                <w:color w:val="auto"/>
                <w:sz w:val="24"/>
                <w:szCs w:val="24"/>
                <w:highlight w:val="none"/>
              </w:rPr>
              <w:t>响应</w:t>
            </w:r>
            <w:r>
              <w:rPr>
                <w:rStyle w:val="97"/>
                <w:rFonts w:hint="eastAsia"/>
                <w:color w:val="auto"/>
                <w:sz w:val="24"/>
                <w:szCs w:val="24"/>
                <w:highlight w:val="none"/>
                <w:lang w:val="en-US" w:eastAsia="zh-CN"/>
              </w:rPr>
              <w:t>竞争性磋商文件</w:t>
            </w:r>
            <w:r>
              <w:rPr>
                <w:rStyle w:val="97"/>
                <w:rFonts w:hint="eastAsia"/>
                <w:color w:val="auto"/>
                <w:sz w:val="24"/>
                <w:szCs w:val="24"/>
                <w:highlight w:val="none"/>
              </w:rPr>
              <w:t>要求提供的投标产品属于《节能产品政府采购品目清单》或《环境标志产品政府采购品目清单》范围的“政府优先采购产品”的</w:t>
            </w:r>
            <w:r>
              <w:rPr>
                <w:rStyle w:val="97"/>
                <w:rFonts w:hint="eastAsia" w:cs="仿宋_GB2312"/>
                <w:b/>
                <w:bCs/>
                <w:color w:val="auto"/>
                <w:sz w:val="24"/>
                <w:szCs w:val="24"/>
                <w:highlight w:val="none"/>
              </w:rPr>
              <w:t>应提供国家确定的认证机构出具的、处于有效期之内的节能产品认证证书或环境标志产品认证证书复印件</w:t>
            </w:r>
            <w:r>
              <w:rPr>
                <w:rStyle w:val="97"/>
                <w:rFonts w:hint="eastAsia"/>
                <w:color w:val="auto"/>
                <w:sz w:val="24"/>
                <w:szCs w:val="24"/>
                <w:highlight w:val="none"/>
              </w:rPr>
              <w:t>，</w:t>
            </w:r>
            <w:r>
              <w:rPr>
                <w:rStyle w:val="97"/>
                <w:rFonts w:hint="eastAsia" w:cs="仿宋_GB2312"/>
                <w:b/>
                <w:bCs/>
                <w:iCs/>
                <w:color w:val="auto"/>
                <w:sz w:val="24"/>
                <w:szCs w:val="24"/>
                <w:highlight w:val="none"/>
              </w:rPr>
              <w:t>否则视为主动放弃被优先采购的权利。</w:t>
            </w:r>
          </w:p>
          <w:p w14:paraId="112C82D9">
            <w:pPr>
              <w:pageBreakBefore w:val="0"/>
              <w:kinsoku/>
              <w:wordWrap/>
              <w:overflowPunct/>
              <w:autoSpaceDE/>
              <w:autoSpaceDN/>
              <w:bidi w:val="0"/>
              <w:spacing w:after="0" w:line="560" w:lineRule="exact"/>
              <w:ind w:firstLine="482" w:firstLineChars="200"/>
              <w:jc w:val="left"/>
              <w:textAlignment w:val="auto"/>
              <w:rPr>
                <w:rStyle w:val="97"/>
                <w:color w:val="auto"/>
                <w:sz w:val="24"/>
                <w:szCs w:val="24"/>
                <w:highlight w:val="none"/>
              </w:rPr>
            </w:pPr>
            <w:r>
              <w:rPr>
                <w:rStyle w:val="97"/>
                <w:rFonts w:hint="eastAsia" w:cs="仿宋_GB2312"/>
                <w:b/>
                <w:bCs/>
                <w:iCs/>
                <w:color w:val="auto"/>
                <w:sz w:val="24"/>
                <w:szCs w:val="24"/>
                <w:highlight w:val="none"/>
              </w:rPr>
              <w:t>优先采购节能产品和环境标志产品在同等条件下属于优先采购范围（优先采购指</w:t>
            </w:r>
            <w:r>
              <w:rPr>
                <w:rStyle w:val="97"/>
                <w:rFonts w:hint="eastAsia"/>
                <w:color w:val="auto"/>
                <w:sz w:val="24"/>
                <w:szCs w:val="24"/>
                <w:highlight w:val="none"/>
              </w:rPr>
              <w:t>当出现排名并列情况时，优先采购技术部分得分高的，技术部分得分相同时，优先采购节能产品和环境标志产品合计金额占自身投标报价比例大的，当比例也相同时，由采购人抽签决定优先顺序</w:t>
            </w:r>
            <w:r>
              <w:rPr>
                <w:rStyle w:val="97"/>
                <w:rFonts w:hint="eastAsia" w:cs="仿宋_GB2312"/>
                <w:b/>
                <w:bCs/>
                <w:iCs/>
                <w:color w:val="auto"/>
                <w:sz w:val="24"/>
                <w:szCs w:val="24"/>
                <w:highlight w:val="none"/>
              </w:rPr>
              <w:t>）。</w:t>
            </w:r>
          </w:p>
        </w:tc>
      </w:tr>
      <w:tr w14:paraId="235F4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565" w:type="dxa"/>
            <w:vAlign w:val="center"/>
          </w:tcPr>
          <w:p w14:paraId="1ADFC937">
            <w:pPr>
              <w:pageBreakBefore w:val="0"/>
              <w:kinsoku/>
              <w:wordWrap/>
              <w:overflowPunct/>
              <w:autoSpaceDE/>
              <w:autoSpaceDN/>
              <w:bidi w:val="0"/>
              <w:spacing w:after="0" w:line="560" w:lineRule="exact"/>
              <w:jc w:val="center"/>
              <w:textAlignment w:val="auto"/>
              <w:rPr>
                <w:rStyle w:val="97"/>
                <w:rFonts w:hint="default" w:eastAsia="宋体"/>
                <w:color w:val="auto"/>
                <w:sz w:val="24"/>
                <w:szCs w:val="24"/>
                <w:highlight w:val="none"/>
                <w:lang w:val="en-US" w:eastAsia="zh-CN"/>
              </w:rPr>
            </w:pPr>
            <w:r>
              <w:rPr>
                <w:rStyle w:val="97"/>
                <w:rFonts w:hint="eastAsia"/>
                <w:color w:val="auto"/>
                <w:sz w:val="24"/>
                <w:szCs w:val="24"/>
                <w:highlight w:val="none"/>
                <w:lang w:val="en-US" w:eastAsia="zh-CN"/>
              </w:rPr>
              <w:t>24</w:t>
            </w:r>
          </w:p>
        </w:tc>
        <w:tc>
          <w:tcPr>
            <w:tcW w:w="1838" w:type="dxa"/>
            <w:vAlign w:val="center"/>
          </w:tcPr>
          <w:p w14:paraId="66F7CA2E">
            <w:pPr>
              <w:pageBreakBefore w:val="0"/>
              <w:tabs>
                <w:tab w:val="left" w:pos="3584"/>
              </w:tabs>
              <w:kinsoku/>
              <w:wordWrap/>
              <w:overflowPunct/>
              <w:autoSpaceDE/>
              <w:autoSpaceDN/>
              <w:bidi w:val="0"/>
              <w:spacing w:after="0" w:line="560" w:lineRule="exact"/>
              <w:jc w:val="center"/>
              <w:textAlignment w:val="auto"/>
              <w:rPr>
                <w:rStyle w:val="97"/>
                <w:rFonts w:hint="eastAsia" w:eastAsia="宋体"/>
                <w:color w:val="auto"/>
                <w:sz w:val="24"/>
                <w:szCs w:val="24"/>
                <w:highlight w:val="none"/>
                <w:lang w:eastAsia="zh-CN"/>
              </w:rPr>
            </w:pPr>
            <w:r>
              <w:rPr>
                <w:rStyle w:val="97"/>
                <w:rFonts w:hint="eastAsia"/>
                <w:color w:val="auto"/>
                <w:sz w:val="24"/>
                <w:szCs w:val="24"/>
                <w:highlight w:val="none"/>
              </w:rPr>
              <w:t>最高限价</w:t>
            </w:r>
            <w:r>
              <w:rPr>
                <w:rStyle w:val="97"/>
                <w:rFonts w:hint="eastAsia"/>
                <w:color w:val="auto"/>
                <w:sz w:val="24"/>
                <w:szCs w:val="24"/>
                <w:highlight w:val="none"/>
                <w:lang w:eastAsia="zh-CN"/>
              </w:rPr>
              <w:t>（</w:t>
            </w:r>
            <w:r>
              <w:rPr>
                <w:rStyle w:val="97"/>
                <w:rFonts w:hint="eastAsia"/>
                <w:color w:val="auto"/>
                <w:sz w:val="24"/>
                <w:szCs w:val="24"/>
                <w:highlight w:val="none"/>
                <w:lang w:val="en-US" w:eastAsia="zh-CN"/>
              </w:rPr>
              <w:t>单价</w:t>
            </w:r>
            <w:r>
              <w:rPr>
                <w:rStyle w:val="97"/>
                <w:rFonts w:hint="eastAsia"/>
                <w:color w:val="auto"/>
                <w:sz w:val="24"/>
                <w:szCs w:val="24"/>
                <w:highlight w:val="none"/>
                <w:lang w:eastAsia="zh-CN"/>
              </w:rPr>
              <w:t>）</w:t>
            </w:r>
          </w:p>
        </w:tc>
        <w:tc>
          <w:tcPr>
            <w:tcW w:w="6811" w:type="dxa"/>
            <w:vAlign w:val="center"/>
          </w:tcPr>
          <w:p w14:paraId="7F9F3DAB">
            <w:pPr>
              <w:pageBreakBefore w:val="0"/>
              <w:kinsoku/>
              <w:wordWrap/>
              <w:overflowPunct/>
              <w:autoSpaceDE/>
              <w:autoSpaceDN/>
              <w:bidi w:val="0"/>
              <w:spacing w:after="0" w:line="560" w:lineRule="exact"/>
              <w:jc w:val="left"/>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单价：小写：</w:t>
            </w:r>
            <w:r>
              <w:rPr>
                <w:rStyle w:val="97"/>
                <w:rFonts w:hint="eastAsia" w:cs="仿宋_GB2312"/>
                <w:b/>
                <w:bCs/>
                <w:iCs/>
                <w:color w:val="auto"/>
                <w:sz w:val="24"/>
                <w:szCs w:val="24"/>
                <w:highlight w:val="none"/>
                <w:lang w:val="en-US" w:eastAsia="zh-CN"/>
              </w:rPr>
              <w:t>15.5</w:t>
            </w:r>
            <w:r>
              <w:rPr>
                <w:rStyle w:val="97"/>
                <w:rFonts w:hint="eastAsia" w:cs="仿宋_GB2312"/>
                <w:b/>
                <w:bCs/>
                <w:iCs/>
                <w:color w:val="auto"/>
                <w:sz w:val="24"/>
                <w:szCs w:val="24"/>
                <w:highlight w:val="none"/>
              </w:rPr>
              <w:t>元/卷</w:t>
            </w:r>
          </w:p>
          <w:p w14:paraId="075E1ABC">
            <w:pPr>
              <w:pageBreakBefore w:val="0"/>
              <w:kinsoku/>
              <w:wordWrap/>
              <w:overflowPunct/>
              <w:autoSpaceDE/>
              <w:autoSpaceDN/>
              <w:bidi w:val="0"/>
              <w:spacing w:after="0" w:line="560" w:lineRule="exact"/>
              <w:jc w:val="left"/>
              <w:textAlignment w:val="auto"/>
              <w:rPr>
                <w:rStyle w:val="97"/>
                <w:rFonts w:hint="default" w:eastAsia="宋体" w:cs="仿宋_GB2312"/>
                <w:b/>
                <w:bCs/>
                <w:iCs/>
                <w:color w:val="auto"/>
                <w:sz w:val="24"/>
                <w:szCs w:val="24"/>
                <w:highlight w:val="none"/>
                <w:lang w:val="en-US" w:eastAsia="zh-CN"/>
              </w:rPr>
            </w:pPr>
            <w:r>
              <w:rPr>
                <w:rStyle w:val="97"/>
                <w:rFonts w:hint="eastAsia" w:cs="仿宋_GB2312"/>
                <w:b/>
                <w:bCs/>
                <w:iCs/>
                <w:color w:val="auto"/>
                <w:sz w:val="24"/>
                <w:szCs w:val="24"/>
                <w:highlight w:val="none"/>
              </w:rPr>
              <w:t>大写：</w:t>
            </w:r>
            <w:r>
              <w:rPr>
                <w:rStyle w:val="97"/>
                <w:rFonts w:hint="eastAsia" w:cs="仿宋_GB2312"/>
                <w:b/>
                <w:bCs/>
                <w:iCs/>
                <w:color w:val="auto"/>
                <w:sz w:val="24"/>
                <w:szCs w:val="24"/>
                <w:highlight w:val="none"/>
                <w:lang w:val="en-US" w:eastAsia="zh-CN"/>
              </w:rPr>
              <w:t>十五点五元每卷</w:t>
            </w:r>
          </w:p>
          <w:p w14:paraId="1ED1DF54">
            <w:pPr>
              <w:pageBreakBefore w:val="0"/>
              <w:kinsoku/>
              <w:wordWrap/>
              <w:overflowPunct/>
              <w:autoSpaceDE/>
              <w:autoSpaceDN/>
              <w:bidi w:val="0"/>
              <w:spacing w:after="0" w:line="560" w:lineRule="exact"/>
              <w:jc w:val="left"/>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注：</w:t>
            </w:r>
            <w:r>
              <w:rPr>
                <w:rStyle w:val="97"/>
                <w:rFonts w:hint="eastAsia" w:cs="仿宋_GB2312"/>
                <w:b/>
                <w:bCs/>
                <w:iCs/>
                <w:color w:val="auto"/>
                <w:sz w:val="24"/>
                <w:szCs w:val="24"/>
                <w:highlight w:val="none"/>
                <w:lang w:val="en-US" w:eastAsia="zh-CN"/>
              </w:rPr>
              <w:t>供应商</w:t>
            </w:r>
            <w:r>
              <w:rPr>
                <w:rStyle w:val="97"/>
                <w:rFonts w:hint="eastAsia" w:cs="仿宋_GB2312"/>
                <w:b/>
                <w:bCs/>
                <w:iCs/>
                <w:color w:val="auto"/>
                <w:sz w:val="24"/>
                <w:szCs w:val="24"/>
                <w:highlight w:val="none"/>
              </w:rPr>
              <w:t>投标报价不得超出最高限价</w:t>
            </w:r>
            <w:r>
              <w:rPr>
                <w:rStyle w:val="97"/>
                <w:rFonts w:hint="eastAsia" w:cs="仿宋_GB2312"/>
                <w:b/>
                <w:bCs/>
                <w:iCs/>
                <w:color w:val="auto"/>
                <w:sz w:val="24"/>
                <w:szCs w:val="24"/>
                <w:highlight w:val="none"/>
                <w:lang w:eastAsia="zh-CN"/>
              </w:rPr>
              <w:t>（</w:t>
            </w:r>
            <w:r>
              <w:rPr>
                <w:rStyle w:val="97"/>
                <w:rFonts w:hint="eastAsia" w:cs="仿宋_GB2312"/>
                <w:b/>
                <w:bCs/>
                <w:iCs/>
                <w:color w:val="auto"/>
                <w:sz w:val="24"/>
                <w:szCs w:val="24"/>
                <w:highlight w:val="none"/>
                <w:lang w:val="en-US" w:eastAsia="zh-CN"/>
              </w:rPr>
              <w:t>单价</w:t>
            </w:r>
            <w:r>
              <w:rPr>
                <w:rStyle w:val="97"/>
                <w:rFonts w:hint="eastAsia" w:cs="仿宋_GB2312"/>
                <w:b/>
                <w:bCs/>
                <w:iCs/>
                <w:color w:val="auto"/>
                <w:sz w:val="24"/>
                <w:szCs w:val="24"/>
                <w:highlight w:val="none"/>
                <w:lang w:eastAsia="zh-CN"/>
              </w:rPr>
              <w:t>）</w:t>
            </w:r>
            <w:r>
              <w:rPr>
                <w:rStyle w:val="97"/>
                <w:rFonts w:hint="eastAsia" w:cs="仿宋_GB2312"/>
                <w:b/>
                <w:bCs/>
                <w:iCs/>
                <w:color w:val="auto"/>
                <w:sz w:val="24"/>
                <w:szCs w:val="24"/>
                <w:highlight w:val="none"/>
              </w:rPr>
              <w:t>，否则其投标将被否决。</w:t>
            </w:r>
          </w:p>
        </w:tc>
      </w:tr>
      <w:tr w14:paraId="633C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565" w:type="dxa"/>
            <w:vAlign w:val="center"/>
          </w:tcPr>
          <w:p w14:paraId="4A61C994">
            <w:pPr>
              <w:pageBreakBefore w:val="0"/>
              <w:kinsoku/>
              <w:wordWrap/>
              <w:overflowPunct/>
              <w:autoSpaceDE/>
              <w:autoSpaceDN/>
              <w:bidi w:val="0"/>
              <w:spacing w:after="0" w:line="560" w:lineRule="exact"/>
              <w:jc w:val="center"/>
              <w:textAlignment w:val="auto"/>
              <w:rPr>
                <w:rStyle w:val="97"/>
                <w:rFonts w:hint="default" w:eastAsia="宋体"/>
                <w:color w:val="auto"/>
                <w:sz w:val="24"/>
                <w:szCs w:val="24"/>
                <w:highlight w:val="none"/>
                <w:lang w:val="en-US" w:eastAsia="zh-CN"/>
              </w:rPr>
            </w:pPr>
            <w:r>
              <w:rPr>
                <w:rStyle w:val="97"/>
                <w:rFonts w:hint="eastAsia"/>
                <w:color w:val="auto"/>
                <w:sz w:val="24"/>
                <w:szCs w:val="24"/>
                <w:highlight w:val="none"/>
                <w:lang w:val="en-US" w:eastAsia="zh-CN"/>
              </w:rPr>
              <w:t>25</w:t>
            </w:r>
          </w:p>
        </w:tc>
        <w:tc>
          <w:tcPr>
            <w:tcW w:w="1838" w:type="dxa"/>
            <w:vAlign w:val="center"/>
          </w:tcPr>
          <w:p w14:paraId="4E64D7BB">
            <w:pPr>
              <w:pageBreakBefore w:val="0"/>
              <w:tabs>
                <w:tab w:val="left" w:pos="3584"/>
              </w:tabs>
              <w:kinsoku/>
              <w:wordWrap/>
              <w:overflowPunct/>
              <w:autoSpaceDE/>
              <w:autoSpaceDN/>
              <w:bidi w:val="0"/>
              <w:spacing w:after="0" w:line="560" w:lineRule="exact"/>
              <w:jc w:val="center"/>
              <w:textAlignment w:val="auto"/>
              <w:rPr>
                <w:rStyle w:val="97"/>
                <w:rFonts w:hint="eastAsia"/>
                <w:color w:val="auto"/>
                <w:sz w:val="24"/>
                <w:szCs w:val="24"/>
                <w:highlight w:val="none"/>
              </w:rPr>
            </w:pPr>
            <w:r>
              <w:rPr>
                <w:rStyle w:val="97"/>
                <w:rFonts w:hint="eastAsia"/>
                <w:color w:val="auto"/>
                <w:sz w:val="24"/>
                <w:szCs w:val="24"/>
                <w:highlight w:val="none"/>
              </w:rPr>
              <w:t>采购标的对应的中小企业划分标准所属行业</w:t>
            </w:r>
          </w:p>
        </w:tc>
        <w:tc>
          <w:tcPr>
            <w:tcW w:w="6811" w:type="dxa"/>
            <w:vAlign w:val="center"/>
          </w:tcPr>
          <w:p w14:paraId="71C3FCFD">
            <w:pPr>
              <w:pageBreakBefore w:val="0"/>
              <w:kinsoku/>
              <w:wordWrap/>
              <w:overflowPunct/>
              <w:autoSpaceDE/>
              <w:autoSpaceDN/>
              <w:bidi w:val="0"/>
              <w:spacing w:after="0" w:line="560" w:lineRule="exact"/>
              <w:jc w:val="center"/>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租赁和商务服务业</w:t>
            </w:r>
          </w:p>
        </w:tc>
      </w:tr>
      <w:tr w14:paraId="5993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565" w:type="dxa"/>
            <w:vAlign w:val="center"/>
          </w:tcPr>
          <w:p w14:paraId="37391931">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Style w:val="97"/>
                <w:rFonts w:hint="default"/>
                <w:color w:val="auto"/>
                <w:sz w:val="24"/>
                <w:szCs w:val="24"/>
                <w:highlight w:val="none"/>
                <w:lang w:val="en-US" w:eastAsia="zh-CN"/>
              </w:rPr>
            </w:pPr>
            <w:r>
              <w:rPr>
                <w:rStyle w:val="97"/>
                <w:rFonts w:hint="eastAsia"/>
                <w:color w:val="auto"/>
                <w:sz w:val="24"/>
                <w:szCs w:val="24"/>
                <w:highlight w:val="none"/>
                <w:lang w:val="en-US" w:eastAsia="zh-CN"/>
              </w:rPr>
              <w:t>26</w:t>
            </w:r>
          </w:p>
        </w:tc>
        <w:tc>
          <w:tcPr>
            <w:tcW w:w="1838" w:type="dxa"/>
            <w:vAlign w:val="center"/>
          </w:tcPr>
          <w:p w14:paraId="713699CC">
            <w:pPr>
              <w:keepNext w:val="0"/>
              <w:keepLines w:val="0"/>
              <w:pageBreakBefore w:val="0"/>
              <w:widowControl/>
              <w:tabs>
                <w:tab w:val="left" w:pos="3584"/>
              </w:tabs>
              <w:kinsoku/>
              <w:wordWrap/>
              <w:overflowPunct/>
              <w:topLinePunct w:val="0"/>
              <w:autoSpaceDE/>
              <w:autoSpaceDN/>
              <w:bidi w:val="0"/>
              <w:adjustRightInd/>
              <w:snapToGrid/>
              <w:spacing w:after="0" w:line="500" w:lineRule="exact"/>
              <w:jc w:val="center"/>
              <w:textAlignment w:val="auto"/>
              <w:rPr>
                <w:rStyle w:val="97"/>
                <w:rFonts w:hint="default" w:eastAsia="宋体"/>
                <w:color w:val="auto"/>
                <w:sz w:val="24"/>
                <w:szCs w:val="24"/>
                <w:highlight w:val="none"/>
                <w:lang w:val="en-US" w:eastAsia="zh-CN"/>
              </w:rPr>
            </w:pPr>
            <w:r>
              <w:rPr>
                <w:rStyle w:val="97"/>
                <w:rFonts w:hint="eastAsia"/>
                <w:color w:val="auto"/>
                <w:sz w:val="24"/>
                <w:szCs w:val="24"/>
                <w:highlight w:val="none"/>
                <w:lang w:val="en-US" w:eastAsia="zh-CN"/>
              </w:rPr>
              <w:t>付款方式</w:t>
            </w:r>
          </w:p>
        </w:tc>
        <w:tc>
          <w:tcPr>
            <w:tcW w:w="6811" w:type="dxa"/>
            <w:vAlign w:val="center"/>
          </w:tcPr>
          <w:p w14:paraId="3E5477F6">
            <w:pPr>
              <w:pageBreakBefore w:val="0"/>
              <w:kinsoku/>
              <w:wordWrap/>
              <w:overflowPunct/>
              <w:autoSpaceDE/>
              <w:autoSpaceDN/>
              <w:bidi w:val="0"/>
              <w:spacing w:after="0" w:line="560" w:lineRule="exact"/>
              <w:ind w:firstLine="482" w:firstLineChars="200"/>
              <w:jc w:val="left"/>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1、第一次付款:合同签订且生效之日起30个工作日内，甲方向乙方支付当年合同总金额的 50%，</w:t>
            </w:r>
          </w:p>
          <w:p w14:paraId="7F1E6634">
            <w:pPr>
              <w:pageBreakBefore w:val="0"/>
              <w:kinsoku/>
              <w:wordWrap/>
              <w:overflowPunct/>
              <w:autoSpaceDE/>
              <w:autoSpaceDN/>
              <w:bidi w:val="0"/>
              <w:spacing w:after="0" w:line="560" w:lineRule="exact"/>
              <w:ind w:firstLine="482" w:firstLineChars="200"/>
              <w:jc w:val="left"/>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2、第二次付款:乙方完成当年作业量的80%后，甲方向乙方支付当年合同总金额的30%，</w:t>
            </w:r>
          </w:p>
          <w:p w14:paraId="16F55E34">
            <w:pPr>
              <w:pageBreakBefore w:val="0"/>
              <w:kinsoku/>
              <w:wordWrap/>
              <w:overflowPunct/>
              <w:autoSpaceDE/>
              <w:autoSpaceDN/>
              <w:bidi w:val="0"/>
              <w:spacing w:after="0" w:line="560" w:lineRule="exact"/>
              <w:ind w:firstLine="482" w:firstLineChars="200"/>
              <w:jc w:val="left"/>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3、第三次付款:乙方按照采购人要求完成当年全部服务内容并验收合格，按照实际作业量x中标单价  计算当年结算价，支付余款</w:t>
            </w:r>
          </w:p>
          <w:p w14:paraId="24CD3E1F">
            <w:pPr>
              <w:pageBreakBefore w:val="0"/>
              <w:kinsoku/>
              <w:wordWrap/>
              <w:overflowPunct/>
              <w:autoSpaceDE/>
              <w:autoSpaceDN/>
              <w:bidi w:val="0"/>
              <w:spacing w:after="0" w:line="560" w:lineRule="exact"/>
              <w:ind w:firstLine="482" w:firstLineChars="200"/>
              <w:jc w:val="left"/>
              <w:textAlignment w:val="auto"/>
              <w:rPr>
                <w:rStyle w:val="97"/>
                <w:rFonts w:hint="eastAsia" w:cs="仿宋_GB2312"/>
                <w:b/>
                <w:bCs/>
                <w:iCs/>
                <w:color w:val="auto"/>
                <w:sz w:val="24"/>
                <w:szCs w:val="24"/>
                <w:highlight w:val="none"/>
              </w:rPr>
            </w:pPr>
            <w:r>
              <w:rPr>
                <w:rStyle w:val="97"/>
                <w:rFonts w:hint="eastAsia" w:cs="仿宋_GB2312"/>
                <w:b/>
                <w:bCs/>
                <w:iCs/>
                <w:color w:val="auto"/>
                <w:sz w:val="24"/>
                <w:szCs w:val="24"/>
                <w:highlight w:val="none"/>
              </w:rPr>
              <w:t>注:原则上按上述约定付款，如因财政拨付程序原因采购方未能约定拨付的，采购人将按实际拨付时间和拨付金额进行付款。</w:t>
            </w:r>
          </w:p>
        </w:tc>
      </w:tr>
      <w:tr w14:paraId="2D2FA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9214" w:type="dxa"/>
            <w:gridSpan w:val="3"/>
            <w:vAlign w:val="center"/>
          </w:tcPr>
          <w:p w14:paraId="48CB465B">
            <w:pPr>
              <w:pageBreakBefore w:val="0"/>
              <w:kinsoku/>
              <w:wordWrap/>
              <w:overflowPunct/>
              <w:autoSpaceDE/>
              <w:autoSpaceDN/>
              <w:bidi w:val="0"/>
              <w:spacing w:after="0" w:line="560" w:lineRule="exact"/>
              <w:ind w:firstLine="482" w:firstLineChars="200"/>
              <w:jc w:val="center"/>
              <w:textAlignment w:val="auto"/>
              <w:rPr>
                <w:rStyle w:val="97"/>
                <w:rFonts w:ascii="Times New Roman" w:hAnsi="Times New Roman" w:cs="仿宋_GB2312"/>
                <w:b/>
                <w:bCs/>
                <w:iCs/>
                <w:color w:val="auto"/>
                <w:sz w:val="24"/>
                <w:szCs w:val="24"/>
                <w:highlight w:val="none"/>
              </w:rPr>
            </w:pPr>
            <w:r>
              <w:rPr>
                <w:rStyle w:val="97"/>
                <w:rFonts w:hint="eastAsia" w:ascii="Times New Roman" w:hAnsi="Times New Roman" w:cs="仿宋_GB2312"/>
                <w:b/>
                <w:bCs/>
                <w:iCs/>
                <w:color w:val="auto"/>
                <w:sz w:val="24"/>
                <w:szCs w:val="24"/>
                <w:highlight w:val="none"/>
              </w:rPr>
              <w:t>郑州市政府采购合同融资政策告知函</w:t>
            </w:r>
          </w:p>
          <w:p w14:paraId="65CBCC5D">
            <w:pPr>
              <w:pageBreakBefore w:val="0"/>
              <w:kinsoku/>
              <w:wordWrap/>
              <w:overflowPunct/>
              <w:autoSpaceDE/>
              <w:autoSpaceDN/>
              <w:bidi w:val="0"/>
              <w:spacing w:after="0" w:line="560" w:lineRule="exact"/>
              <w:jc w:val="left"/>
              <w:textAlignment w:val="auto"/>
              <w:rPr>
                <w:rStyle w:val="97"/>
                <w:rFonts w:ascii="Times New Roman" w:hAnsi="Times New Roman" w:cs="仿宋_GB2312"/>
                <w:iCs/>
                <w:color w:val="auto"/>
                <w:sz w:val="24"/>
                <w:szCs w:val="24"/>
                <w:highlight w:val="none"/>
              </w:rPr>
            </w:pPr>
            <w:r>
              <w:rPr>
                <w:rStyle w:val="97"/>
                <w:rFonts w:hint="eastAsia" w:ascii="Times New Roman" w:hAnsi="Times New Roman" w:cs="仿宋_GB2312"/>
                <w:iCs/>
                <w:color w:val="auto"/>
                <w:sz w:val="24"/>
                <w:szCs w:val="24"/>
                <w:highlight w:val="none"/>
              </w:rPr>
              <w:t>各供应商：</w:t>
            </w:r>
          </w:p>
          <w:p w14:paraId="29B6411A">
            <w:pPr>
              <w:pageBreakBefore w:val="0"/>
              <w:kinsoku/>
              <w:wordWrap/>
              <w:overflowPunct/>
              <w:autoSpaceDE/>
              <w:autoSpaceDN/>
              <w:bidi w:val="0"/>
              <w:spacing w:after="0" w:line="560" w:lineRule="exact"/>
              <w:ind w:firstLine="480" w:firstLineChars="200"/>
              <w:jc w:val="left"/>
              <w:textAlignment w:val="auto"/>
              <w:rPr>
                <w:rStyle w:val="97"/>
                <w:rFonts w:ascii="Times New Roman" w:hAnsi="Times New Roman" w:cs="仿宋_GB2312"/>
                <w:iCs/>
                <w:color w:val="auto"/>
                <w:sz w:val="24"/>
                <w:szCs w:val="24"/>
                <w:highlight w:val="none"/>
              </w:rPr>
            </w:pPr>
            <w:r>
              <w:rPr>
                <w:rStyle w:val="97"/>
                <w:rFonts w:hint="eastAsia" w:ascii="Times New Roman" w:hAnsi="Times New Roman" w:cs="仿宋_GB2312"/>
                <w:iCs/>
                <w:color w:val="auto"/>
                <w:sz w:val="24"/>
                <w:szCs w:val="24"/>
                <w:highlight w:val="none"/>
              </w:rPr>
              <w:t>欢迎贵公司参与郑州市政府采购活动！</w:t>
            </w:r>
          </w:p>
          <w:p w14:paraId="211F0ECB">
            <w:pPr>
              <w:pageBreakBefore w:val="0"/>
              <w:kinsoku/>
              <w:wordWrap/>
              <w:overflowPunct/>
              <w:autoSpaceDE/>
              <w:autoSpaceDN/>
              <w:bidi w:val="0"/>
              <w:spacing w:after="0" w:line="560" w:lineRule="exact"/>
              <w:ind w:firstLine="480" w:firstLineChars="200"/>
              <w:jc w:val="left"/>
              <w:textAlignment w:val="auto"/>
              <w:rPr>
                <w:rStyle w:val="97"/>
                <w:rFonts w:cs="仿宋_GB2312"/>
                <w:b/>
                <w:bCs/>
                <w:iCs/>
                <w:color w:val="auto"/>
                <w:sz w:val="24"/>
                <w:szCs w:val="24"/>
                <w:highlight w:val="none"/>
              </w:rPr>
            </w:pPr>
            <w:r>
              <w:rPr>
                <w:rStyle w:val="97"/>
                <w:rFonts w:hint="eastAsia" w:ascii="Times New Roman" w:hAnsi="Times New Roman" w:cs="仿宋_GB2312"/>
                <w:iCs/>
                <w:color w:val="auto"/>
                <w:sz w:val="24"/>
                <w:szCs w:val="24"/>
                <w:highlight w:val="none"/>
              </w:rPr>
              <w:t>政府采购合同融资是郑州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号），按照双方自愿的原则提供便捷、优惠的贷款服务。贷款渠道和提供贷款的金融机构，可在郑州市政府采购网“郑州市政府采购合同融资入口”查询联系。</w:t>
            </w:r>
          </w:p>
        </w:tc>
      </w:tr>
    </w:tbl>
    <w:p w14:paraId="26AF23F6">
      <w:pPr>
        <w:rPr>
          <w:rStyle w:val="97"/>
          <w:rFonts w:hint="eastAsia"/>
          <w:b/>
          <w:color w:val="auto"/>
          <w:sz w:val="24"/>
          <w:szCs w:val="24"/>
          <w:highlight w:val="none"/>
        </w:rPr>
      </w:pPr>
      <w:r>
        <w:rPr>
          <w:rStyle w:val="97"/>
          <w:rFonts w:hint="eastAsia"/>
          <w:b/>
          <w:color w:val="auto"/>
          <w:sz w:val="24"/>
          <w:szCs w:val="24"/>
          <w:highlight w:val="none"/>
        </w:rPr>
        <w:br w:type="page"/>
      </w:r>
    </w:p>
    <w:p w14:paraId="1C50FEC5">
      <w:pPr>
        <w:pageBreakBefore w:val="0"/>
        <w:kinsoku/>
        <w:wordWrap/>
        <w:overflowPunct/>
        <w:autoSpaceDE/>
        <w:autoSpaceDN/>
        <w:bidi w:val="0"/>
        <w:spacing w:after="0" w:line="560" w:lineRule="exact"/>
        <w:ind w:firstLine="482" w:firstLineChars="200"/>
        <w:jc w:val="center"/>
        <w:rPr>
          <w:rStyle w:val="97"/>
          <w:b/>
          <w:color w:val="auto"/>
          <w:sz w:val="24"/>
          <w:szCs w:val="24"/>
          <w:highlight w:val="none"/>
        </w:rPr>
      </w:pPr>
      <w:r>
        <w:rPr>
          <w:rStyle w:val="97"/>
          <w:rFonts w:hint="eastAsia"/>
          <w:b/>
          <w:color w:val="auto"/>
          <w:sz w:val="24"/>
          <w:szCs w:val="24"/>
          <w:highlight w:val="none"/>
        </w:rPr>
        <w:t>一、说明</w:t>
      </w:r>
    </w:p>
    <w:p w14:paraId="23BB6BAE">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w:t>
      </w:r>
      <w:r>
        <w:rPr>
          <w:rStyle w:val="97"/>
          <w:rFonts w:hint="eastAsia" w:cs="宋体"/>
          <w:b/>
          <w:bCs/>
          <w:color w:val="auto"/>
          <w:sz w:val="24"/>
          <w:szCs w:val="24"/>
          <w:highlight w:val="none"/>
        </w:rPr>
        <w:t>总则</w:t>
      </w:r>
    </w:p>
    <w:p w14:paraId="39EAB694">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1.1</w:t>
      </w:r>
      <w:r>
        <w:rPr>
          <w:rStyle w:val="97"/>
          <w:rFonts w:hint="eastAsia" w:cs="宋体"/>
          <w:b/>
          <w:bCs/>
          <w:color w:val="auto"/>
          <w:sz w:val="24"/>
          <w:szCs w:val="24"/>
          <w:highlight w:val="none"/>
        </w:rPr>
        <w:t>定义</w:t>
      </w:r>
    </w:p>
    <w:p w14:paraId="1162E264">
      <w:pPr>
        <w:pStyle w:val="64"/>
        <w:pageBreakBefore w:val="0"/>
        <w:tabs>
          <w:tab w:val="left" w:pos="625"/>
        </w:tabs>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1.1.1</w:t>
      </w:r>
      <w:r>
        <w:rPr>
          <w:rStyle w:val="97"/>
          <w:rFonts w:hint="eastAsia"/>
          <w:color w:val="auto"/>
          <w:sz w:val="24"/>
          <w:szCs w:val="24"/>
          <w:highlight w:val="none"/>
        </w:rPr>
        <w:t>竞争性磋商是指采购人、政府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14:paraId="3BBC01AD">
      <w:pPr>
        <w:pageBreakBefore w:val="0"/>
        <w:kinsoku/>
        <w:wordWrap/>
        <w:overflowPunct/>
        <w:autoSpaceDE/>
        <w:autoSpaceDN/>
        <w:bidi w:val="0"/>
        <w:spacing w:after="0" w:line="560" w:lineRule="exact"/>
        <w:ind w:firstLine="480"/>
        <w:rPr>
          <w:rStyle w:val="97"/>
          <w:color w:val="auto"/>
          <w:sz w:val="24"/>
          <w:szCs w:val="24"/>
          <w:highlight w:val="none"/>
        </w:rPr>
      </w:pPr>
      <w:r>
        <w:rPr>
          <w:rStyle w:val="97"/>
          <w:color w:val="auto"/>
          <w:sz w:val="24"/>
          <w:szCs w:val="24"/>
          <w:highlight w:val="none"/>
        </w:rPr>
        <w:t>1.1.2</w:t>
      </w:r>
      <w:r>
        <w:rPr>
          <w:rStyle w:val="97"/>
          <w:rFonts w:hint="eastAsia"/>
          <w:color w:val="auto"/>
          <w:sz w:val="24"/>
          <w:szCs w:val="24"/>
          <w:highlight w:val="none"/>
        </w:rPr>
        <w:t>采购人</w:t>
      </w:r>
      <w:r>
        <w:rPr>
          <w:rStyle w:val="97"/>
          <w:color w:val="auto"/>
          <w:sz w:val="24"/>
          <w:szCs w:val="24"/>
          <w:highlight w:val="none"/>
        </w:rPr>
        <w:t>--</w:t>
      </w:r>
      <w:r>
        <w:rPr>
          <w:rStyle w:val="97"/>
          <w:rFonts w:hint="eastAsia"/>
          <w:color w:val="auto"/>
          <w:sz w:val="24"/>
          <w:szCs w:val="24"/>
          <w:highlight w:val="none"/>
        </w:rPr>
        <w:t>指组织本次竞争性磋商的</w:t>
      </w:r>
      <w:r>
        <w:rPr>
          <w:rStyle w:val="97"/>
          <w:rFonts w:hint="eastAsia"/>
          <w:color w:val="auto"/>
          <w:sz w:val="24"/>
          <w:szCs w:val="24"/>
          <w:highlight w:val="none"/>
          <w:lang w:eastAsia="zh-CN"/>
        </w:rPr>
        <w:t>郑州市自然资源和规划局高新分局</w:t>
      </w:r>
      <w:r>
        <w:rPr>
          <w:rStyle w:val="97"/>
          <w:rFonts w:hint="eastAsia"/>
          <w:color w:val="auto"/>
          <w:sz w:val="24"/>
          <w:szCs w:val="24"/>
          <w:highlight w:val="none"/>
        </w:rPr>
        <w:t>。</w:t>
      </w:r>
    </w:p>
    <w:p w14:paraId="22476462">
      <w:pPr>
        <w:pageBreakBefore w:val="0"/>
        <w:kinsoku/>
        <w:wordWrap/>
        <w:overflowPunct/>
        <w:autoSpaceDE/>
        <w:autoSpaceDN/>
        <w:bidi w:val="0"/>
        <w:spacing w:after="0" w:line="560" w:lineRule="exact"/>
        <w:ind w:firstLine="480"/>
        <w:rPr>
          <w:rStyle w:val="97"/>
          <w:color w:val="auto"/>
          <w:sz w:val="24"/>
          <w:szCs w:val="24"/>
          <w:highlight w:val="none"/>
        </w:rPr>
      </w:pPr>
      <w:r>
        <w:rPr>
          <w:rStyle w:val="97"/>
          <w:color w:val="auto"/>
          <w:sz w:val="24"/>
          <w:szCs w:val="24"/>
          <w:highlight w:val="none"/>
        </w:rPr>
        <w:t>1.1.3</w:t>
      </w:r>
      <w:r>
        <w:rPr>
          <w:rStyle w:val="97"/>
          <w:rFonts w:hint="eastAsia"/>
          <w:color w:val="auto"/>
          <w:sz w:val="24"/>
          <w:szCs w:val="24"/>
          <w:highlight w:val="none"/>
        </w:rPr>
        <w:t>供应商或供应商</w:t>
      </w:r>
      <w:r>
        <w:rPr>
          <w:rStyle w:val="97"/>
          <w:color w:val="auto"/>
          <w:sz w:val="24"/>
          <w:szCs w:val="24"/>
          <w:highlight w:val="none"/>
        </w:rPr>
        <w:t>--</w:t>
      </w:r>
      <w:r>
        <w:rPr>
          <w:rStyle w:val="97"/>
          <w:rFonts w:hint="eastAsia"/>
          <w:color w:val="auto"/>
          <w:sz w:val="24"/>
          <w:szCs w:val="24"/>
          <w:highlight w:val="none"/>
        </w:rPr>
        <w:t>指向采购人提交竞争性磋商响应文件的单位或机构，竞争性磋商供应商简称供应商。</w:t>
      </w:r>
    </w:p>
    <w:p w14:paraId="0AD47412">
      <w:pPr>
        <w:pageBreakBefore w:val="0"/>
        <w:kinsoku/>
        <w:wordWrap/>
        <w:overflowPunct/>
        <w:autoSpaceDE/>
        <w:autoSpaceDN/>
        <w:bidi w:val="0"/>
        <w:spacing w:after="0" w:line="560" w:lineRule="exact"/>
        <w:ind w:firstLine="480"/>
        <w:rPr>
          <w:rStyle w:val="97"/>
          <w:color w:val="auto"/>
          <w:sz w:val="24"/>
          <w:szCs w:val="24"/>
          <w:highlight w:val="none"/>
        </w:rPr>
      </w:pPr>
      <w:r>
        <w:rPr>
          <w:rStyle w:val="97"/>
          <w:color w:val="auto"/>
          <w:sz w:val="24"/>
          <w:szCs w:val="24"/>
          <w:highlight w:val="none"/>
        </w:rPr>
        <w:t>1.1.4</w:t>
      </w:r>
      <w:r>
        <w:rPr>
          <w:rStyle w:val="97"/>
          <w:rFonts w:hint="eastAsia"/>
          <w:color w:val="auto"/>
          <w:sz w:val="24"/>
          <w:szCs w:val="24"/>
          <w:highlight w:val="none"/>
        </w:rPr>
        <w:t>最终用户：</w:t>
      </w:r>
      <w:r>
        <w:rPr>
          <w:rStyle w:val="97"/>
          <w:rFonts w:hint="eastAsia"/>
          <w:color w:val="auto"/>
          <w:sz w:val="24"/>
          <w:szCs w:val="24"/>
          <w:highlight w:val="none"/>
          <w:lang w:eastAsia="zh-CN"/>
        </w:rPr>
        <w:t>郑州市自然资源和规划局高新分局</w:t>
      </w:r>
      <w:r>
        <w:rPr>
          <w:rStyle w:val="97"/>
          <w:rFonts w:hint="eastAsia"/>
          <w:color w:val="auto"/>
          <w:sz w:val="24"/>
          <w:szCs w:val="24"/>
          <w:highlight w:val="none"/>
        </w:rPr>
        <w:t>。</w:t>
      </w:r>
    </w:p>
    <w:p w14:paraId="4B2258B1">
      <w:pPr>
        <w:pageBreakBefore w:val="0"/>
        <w:kinsoku/>
        <w:wordWrap/>
        <w:overflowPunct/>
        <w:autoSpaceDE/>
        <w:autoSpaceDN/>
        <w:bidi w:val="0"/>
        <w:spacing w:after="0" w:line="560" w:lineRule="exact"/>
        <w:ind w:firstLine="480"/>
        <w:rPr>
          <w:rStyle w:val="97"/>
          <w:color w:val="auto"/>
          <w:sz w:val="24"/>
          <w:szCs w:val="24"/>
          <w:highlight w:val="none"/>
        </w:rPr>
      </w:pPr>
      <w:r>
        <w:rPr>
          <w:rStyle w:val="97"/>
          <w:color w:val="auto"/>
          <w:sz w:val="24"/>
          <w:szCs w:val="24"/>
          <w:highlight w:val="none"/>
        </w:rPr>
        <w:t>1.1.5</w:t>
      </w:r>
      <w:r>
        <w:rPr>
          <w:rStyle w:val="97"/>
          <w:rFonts w:hint="eastAsia"/>
          <w:color w:val="auto"/>
          <w:sz w:val="24"/>
          <w:szCs w:val="24"/>
          <w:highlight w:val="none"/>
        </w:rPr>
        <w:t>公章</w:t>
      </w:r>
      <w:r>
        <w:rPr>
          <w:rStyle w:val="97"/>
          <w:color w:val="auto"/>
          <w:sz w:val="24"/>
          <w:szCs w:val="24"/>
          <w:highlight w:val="none"/>
        </w:rPr>
        <w:t>--</w:t>
      </w:r>
      <w:r>
        <w:rPr>
          <w:rStyle w:val="97"/>
          <w:rFonts w:hint="eastAsia"/>
          <w:color w:val="auto"/>
          <w:sz w:val="24"/>
          <w:szCs w:val="24"/>
          <w:highlight w:val="none"/>
        </w:rPr>
        <w:t>指供应商的行政章，采购人不接受加盖其他印鉴（如合同章、竞争性磋商专用章、有序号的章等印鉴）的竞争性磋商采购文件。</w:t>
      </w:r>
    </w:p>
    <w:p w14:paraId="2D5CF8F6">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2.</w:t>
      </w:r>
      <w:r>
        <w:rPr>
          <w:rStyle w:val="97"/>
          <w:rFonts w:hint="eastAsia" w:cs="宋体"/>
          <w:b/>
          <w:bCs/>
          <w:color w:val="auto"/>
          <w:sz w:val="24"/>
          <w:szCs w:val="24"/>
          <w:highlight w:val="none"/>
        </w:rPr>
        <w:t>合格的供应商</w:t>
      </w:r>
    </w:p>
    <w:p w14:paraId="396B4CA7">
      <w:pPr>
        <w:pStyle w:val="64"/>
        <w:pageBreakBefore w:val="0"/>
        <w:tabs>
          <w:tab w:val="left" w:pos="625"/>
        </w:tabs>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2.1</w:t>
      </w:r>
      <w:r>
        <w:rPr>
          <w:rStyle w:val="97"/>
          <w:rFonts w:hint="eastAsia"/>
          <w:color w:val="auto"/>
          <w:sz w:val="24"/>
          <w:szCs w:val="24"/>
          <w:highlight w:val="none"/>
        </w:rPr>
        <w:t>合格的供应商应满足条件详见供应商须知前附表。</w:t>
      </w:r>
    </w:p>
    <w:p w14:paraId="75DC5F81">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3.</w:t>
      </w:r>
      <w:r>
        <w:rPr>
          <w:rStyle w:val="97"/>
          <w:rFonts w:hint="eastAsia" w:cs="宋体"/>
          <w:b/>
          <w:bCs/>
          <w:color w:val="auto"/>
          <w:sz w:val="24"/>
          <w:szCs w:val="24"/>
          <w:highlight w:val="none"/>
        </w:rPr>
        <w:t>磋商费用</w:t>
      </w:r>
    </w:p>
    <w:p w14:paraId="7891CADD">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供应商应承担所有与准备和参加磋商有关的费用。不论磋商的结果如何，供应商须知资料表中所述的采购人或采购机构均无义务和责任承担这些费用。</w:t>
      </w:r>
    </w:p>
    <w:p w14:paraId="39BECD7F">
      <w:pPr>
        <w:pageBreakBefore w:val="0"/>
        <w:kinsoku/>
        <w:wordWrap/>
        <w:overflowPunct/>
        <w:autoSpaceDE/>
        <w:autoSpaceDN/>
        <w:bidi w:val="0"/>
        <w:spacing w:after="0" w:line="560" w:lineRule="exact"/>
        <w:ind w:firstLine="482" w:firstLineChars="200"/>
        <w:jc w:val="center"/>
        <w:rPr>
          <w:rStyle w:val="97"/>
          <w:b/>
          <w:color w:val="auto"/>
          <w:sz w:val="24"/>
          <w:szCs w:val="24"/>
          <w:highlight w:val="none"/>
        </w:rPr>
      </w:pPr>
      <w:r>
        <w:rPr>
          <w:rStyle w:val="97"/>
          <w:rFonts w:hint="eastAsia"/>
          <w:b/>
          <w:color w:val="auto"/>
          <w:sz w:val="24"/>
          <w:szCs w:val="24"/>
          <w:highlight w:val="none"/>
        </w:rPr>
        <w:t>二、磋商文件</w:t>
      </w:r>
    </w:p>
    <w:p w14:paraId="1A953EC0">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4.</w:t>
      </w:r>
      <w:r>
        <w:rPr>
          <w:rStyle w:val="97"/>
          <w:rFonts w:hint="eastAsia" w:cs="宋体"/>
          <w:b/>
          <w:bCs/>
          <w:color w:val="auto"/>
          <w:sz w:val="24"/>
          <w:szCs w:val="24"/>
          <w:highlight w:val="none"/>
        </w:rPr>
        <w:t>磋商文件的编制依据与构成</w:t>
      </w:r>
    </w:p>
    <w:p w14:paraId="530136E9">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4.1</w:t>
      </w:r>
      <w:r>
        <w:rPr>
          <w:rStyle w:val="97"/>
          <w:color w:val="auto"/>
          <w:sz w:val="24"/>
          <w:szCs w:val="24"/>
          <w:highlight w:val="none"/>
        </w:rPr>
        <w:tab/>
      </w:r>
      <w:r>
        <w:rPr>
          <w:rStyle w:val="97"/>
          <w:rFonts w:hint="eastAsia"/>
          <w:color w:val="auto"/>
          <w:sz w:val="24"/>
          <w:szCs w:val="24"/>
          <w:highlight w:val="none"/>
        </w:rPr>
        <w:t>本竞争性磋商文件（以下简称磋商文件）的编制依据</w:t>
      </w:r>
    </w:p>
    <w:p w14:paraId="7CC513C6">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4.1.1</w:t>
      </w:r>
      <w:r>
        <w:rPr>
          <w:rStyle w:val="97"/>
          <w:rFonts w:hint="eastAsia"/>
          <w:color w:val="auto"/>
          <w:sz w:val="24"/>
          <w:szCs w:val="24"/>
          <w:highlight w:val="none"/>
        </w:rPr>
        <w:t>财政部关于印发《政府采购竞争性磋商采购方式管理暂行办法》的通知（财库</w:t>
      </w:r>
      <w:r>
        <w:rPr>
          <w:rStyle w:val="97"/>
          <w:color w:val="auto"/>
          <w:sz w:val="24"/>
          <w:szCs w:val="24"/>
          <w:highlight w:val="none"/>
        </w:rPr>
        <w:t>[2014]214</w:t>
      </w:r>
      <w:r>
        <w:rPr>
          <w:rStyle w:val="97"/>
          <w:rFonts w:hint="eastAsia"/>
          <w:color w:val="auto"/>
          <w:sz w:val="24"/>
          <w:szCs w:val="24"/>
          <w:highlight w:val="none"/>
        </w:rPr>
        <w:t>号）</w:t>
      </w:r>
    </w:p>
    <w:p w14:paraId="51B16862">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4.1.2</w:t>
      </w:r>
      <w:r>
        <w:rPr>
          <w:rStyle w:val="97"/>
          <w:rFonts w:hint="eastAsia"/>
          <w:color w:val="auto"/>
          <w:sz w:val="24"/>
          <w:szCs w:val="24"/>
          <w:highlight w:val="none"/>
        </w:rPr>
        <w:t>《财政部关于竞争性磋商采购方式管理暂行办法有关问题的补充通知》（财库（</w:t>
      </w:r>
      <w:r>
        <w:rPr>
          <w:rStyle w:val="97"/>
          <w:color w:val="auto"/>
          <w:sz w:val="24"/>
          <w:szCs w:val="24"/>
          <w:highlight w:val="none"/>
        </w:rPr>
        <w:t>2015</w:t>
      </w:r>
      <w:r>
        <w:rPr>
          <w:rStyle w:val="97"/>
          <w:rFonts w:hint="eastAsia"/>
          <w:color w:val="auto"/>
          <w:sz w:val="24"/>
          <w:szCs w:val="24"/>
          <w:highlight w:val="none"/>
        </w:rPr>
        <w:t>）</w:t>
      </w:r>
      <w:r>
        <w:rPr>
          <w:rStyle w:val="97"/>
          <w:color w:val="auto"/>
          <w:sz w:val="24"/>
          <w:szCs w:val="24"/>
          <w:highlight w:val="none"/>
        </w:rPr>
        <w:t xml:space="preserve">124 </w:t>
      </w:r>
      <w:r>
        <w:rPr>
          <w:rStyle w:val="97"/>
          <w:rFonts w:hint="eastAsia"/>
          <w:color w:val="auto"/>
          <w:sz w:val="24"/>
          <w:szCs w:val="24"/>
          <w:highlight w:val="none"/>
        </w:rPr>
        <w:t>号）</w:t>
      </w:r>
    </w:p>
    <w:p w14:paraId="10067F6C">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磋商文件的编制依据包含但不限于上述文件，上述文件如有更新的以最新版本为准。</w:t>
      </w:r>
    </w:p>
    <w:p w14:paraId="50F20B7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4.2</w:t>
      </w:r>
      <w:r>
        <w:rPr>
          <w:rStyle w:val="97"/>
          <w:rFonts w:hint="eastAsia"/>
          <w:color w:val="auto"/>
          <w:sz w:val="24"/>
          <w:szCs w:val="24"/>
          <w:highlight w:val="none"/>
        </w:rPr>
        <w:t xml:space="preserve"> 磋商文件由下列章节组成：</w:t>
      </w:r>
    </w:p>
    <w:p w14:paraId="2B0A30AB">
      <w:pPr>
        <w:pageBreakBefore w:val="0"/>
        <w:kinsoku/>
        <w:wordWrap/>
        <w:overflowPunct/>
        <w:autoSpaceDE/>
        <w:autoSpaceDN/>
        <w:bidi w:val="0"/>
        <w:spacing w:after="0" w:line="560" w:lineRule="exact"/>
        <w:ind w:firstLine="960" w:firstLineChars="400"/>
        <w:rPr>
          <w:rStyle w:val="97"/>
          <w:rFonts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第一章竞争性磋商邀请函</w:t>
      </w:r>
    </w:p>
    <w:p w14:paraId="4864DAF7">
      <w:pPr>
        <w:pageBreakBefore w:val="0"/>
        <w:kinsoku/>
        <w:wordWrap/>
        <w:overflowPunct/>
        <w:autoSpaceDE/>
        <w:autoSpaceDN/>
        <w:bidi w:val="0"/>
        <w:spacing w:after="0" w:line="560" w:lineRule="exact"/>
        <w:ind w:firstLine="960" w:firstLineChars="400"/>
        <w:rPr>
          <w:rStyle w:val="97"/>
          <w:rFonts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第二章供应商须知</w:t>
      </w:r>
    </w:p>
    <w:p w14:paraId="0E2E9F9F">
      <w:pPr>
        <w:pageBreakBefore w:val="0"/>
        <w:kinsoku/>
        <w:wordWrap/>
        <w:overflowPunct/>
        <w:autoSpaceDE/>
        <w:autoSpaceDN/>
        <w:bidi w:val="0"/>
        <w:spacing w:after="0" w:line="560" w:lineRule="exact"/>
        <w:ind w:firstLine="960" w:firstLineChars="400"/>
        <w:rPr>
          <w:rStyle w:val="97"/>
          <w:rFonts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第三章项目采购需求</w:t>
      </w:r>
    </w:p>
    <w:p w14:paraId="52003185">
      <w:pPr>
        <w:pageBreakBefore w:val="0"/>
        <w:kinsoku/>
        <w:wordWrap/>
        <w:overflowPunct/>
        <w:autoSpaceDE/>
        <w:autoSpaceDN/>
        <w:bidi w:val="0"/>
        <w:spacing w:after="0" w:line="560" w:lineRule="exact"/>
        <w:ind w:firstLine="960" w:firstLineChars="400"/>
        <w:rPr>
          <w:rStyle w:val="97"/>
          <w:rFonts w:hint="default" w:ascii="Times New Roman" w:hAnsi="Times New Roman" w:eastAsia="宋体" w:cs="Times New Roman"/>
          <w:color w:val="auto"/>
          <w:sz w:val="24"/>
          <w:szCs w:val="24"/>
          <w:highlight w:val="none"/>
          <w:lang w:val="en-US" w:eastAsia="zh-CN"/>
        </w:rPr>
      </w:pPr>
      <w:r>
        <w:rPr>
          <w:rStyle w:val="97"/>
          <w:rFonts w:hint="eastAsia" w:ascii="Times New Roman" w:hAnsi="Times New Roman" w:cs="Times New Roman"/>
          <w:color w:val="auto"/>
          <w:sz w:val="24"/>
          <w:szCs w:val="24"/>
          <w:highlight w:val="none"/>
        </w:rPr>
        <w:t>第四章</w:t>
      </w:r>
      <w:r>
        <w:rPr>
          <w:rStyle w:val="97"/>
          <w:rFonts w:hint="eastAsia" w:ascii="Times New Roman" w:hAnsi="Times New Roman" w:cs="Times New Roman"/>
          <w:color w:val="auto"/>
          <w:sz w:val="24"/>
          <w:szCs w:val="24"/>
          <w:highlight w:val="none"/>
          <w:lang w:val="en-US" w:eastAsia="zh-CN"/>
        </w:rPr>
        <w:t>磋商方法和标准</w:t>
      </w:r>
    </w:p>
    <w:p w14:paraId="28FFC610">
      <w:pPr>
        <w:pageBreakBefore w:val="0"/>
        <w:kinsoku/>
        <w:wordWrap/>
        <w:overflowPunct/>
        <w:autoSpaceDE/>
        <w:autoSpaceDN/>
        <w:bidi w:val="0"/>
        <w:spacing w:after="0" w:line="560" w:lineRule="exact"/>
        <w:ind w:firstLine="960" w:firstLineChars="400"/>
        <w:rPr>
          <w:rStyle w:val="97"/>
          <w:rFonts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第五章合同</w:t>
      </w:r>
    </w:p>
    <w:p w14:paraId="7CA7A297">
      <w:pPr>
        <w:pageBreakBefore w:val="0"/>
        <w:kinsoku/>
        <w:wordWrap/>
        <w:overflowPunct/>
        <w:autoSpaceDE/>
        <w:autoSpaceDN/>
        <w:bidi w:val="0"/>
        <w:spacing w:after="0" w:line="560" w:lineRule="exact"/>
        <w:ind w:firstLine="960" w:firstLineChars="400"/>
        <w:rPr>
          <w:rStyle w:val="97"/>
          <w:rFonts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第六章响应文件格式</w:t>
      </w:r>
    </w:p>
    <w:p w14:paraId="26C6C1DD">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4.3 </w:t>
      </w:r>
      <w:r>
        <w:rPr>
          <w:rStyle w:val="97"/>
          <w:rFonts w:hint="eastAsia"/>
          <w:color w:val="auto"/>
          <w:sz w:val="24"/>
          <w:szCs w:val="24"/>
          <w:highlight w:val="none"/>
        </w:rPr>
        <w:t>磋商文件以中文文字编写。</w:t>
      </w:r>
    </w:p>
    <w:p w14:paraId="68FA1F52">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4.4</w:t>
      </w:r>
      <w:r>
        <w:rPr>
          <w:rStyle w:val="97"/>
          <w:rFonts w:hint="eastAsia"/>
          <w:color w:val="auto"/>
          <w:sz w:val="24"/>
          <w:szCs w:val="24"/>
          <w:highlight w:val="none"/>
        </w:rPr>
        <w:t>供应商应认真阅读磋商文件中所有的事项、格式、条款和磋商内容及要求等，并按照磋商文件的要求编制响应文件。若供应商不按照磋商文件要求编制响应文件，由此产生的风险和责任将由供应商自己承担。</w:t>
      </w:r>
    </w:p>
    <w:p w14:paraId="1352F8A7">
      <w:pPr>
        <w:pageBreakBefore w:val="0"/>
        <w:tabs>
          <w:tab w:val="left" w:pos="641"/>
        </w:tabs>
        <w:kinsoku/>
        <w:wordWrap/>
        <w:overflowPunct/>
        <w:autoSpaceDE/>
        <w:autoSpaceDN/>
        <w:bidi w:val="0"/>
        <w:spacing w:after="0" w:line="560" w:lineRule="exact"/>
        <w:rPr>
          <w:rStyle w:val="97"/>
          <w:color w:val="auto"/>
          <w:sz w:val="24"/>
          <w:szCs w:val="24"/>
          <w:highlight w:val="none"/>
        </w:rPr>
      </w:pPr>
      <w:r>
        <w:rPr>
          <w:rStyle w:val="97"/>
          <w:rFonts w:cs="宋体"/>
          <w:b/>
          <w:bCs/>
          <w:color w:val="auto"/>
          <w:sz w:val="24"/>
          <w:szCs w:val="24"/>
          <w:highlight w:val="none"/>
        </w:rPr>
        <w:t>5.</w:t>
      </w:r>
      <w:r>
        <w:rPr>
          <w:rStyle w:val="97"/>
          <w:rFonts w:hint="eastAsia" w:cs="宋体"/>
          <w:b/>
          <w:bCs/>
          <w:color w:val="auto"/>
          <w:sz w:val="24"/>
          <w:szCs w:val="24"/>
          <w:highlight w:val="none"/>
        </w:rPr>
        <w:t>磋商文件的澄清、修改及变动</w:t>
      </w:r>
    </w:p>
    <w:p w14:paraId="3BDCF1B2">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5.1</w:t>
      </w:r>
      <w:r>
        <w:rPr>
          <w:rStyle w:val="97"/>
          <w:color w:val="auto"/>
          <w:sz w:val="24"/>
          <w:szCs w:val="24"/>
          <w:highlight w:val="none"/>
        </w:rPr>
        <w:tab/>
      </w:r>
      <w:r>
        <w:rPr>
          <w:rStyle w:val="97"/>
          <w:rFonts w:hint="eastAsia"/>
          <w:color w:val="auto"/>
          <w:sz w:val="24"/>
          <w:szCs w:val="24"/>
          <w:highlight w:val="none"/>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Style w:val="97"/>
          <w:color w:val="auto"/>
          <w:sz w:val="24"/>
          <w:szCs w:val="24"/>
          <w:highlight w:val="none"/>
        </w:rPr>
        <w:t>5</w:t>
      </w:r>
      <w:r>
        <w:rPr>
          <w:rStyle w:val="97"/>
          <w:rFonts w:hint="eastAsia"/>
          <w:color w:val="auto"/>
          <w:sz w:val="24"/>
          <w:szCs w:val="24"/>
          <w:highlight w:val="none"/>
        </w:rPr>
        <w:t>日前，交易平台线上通知所有获取磋商文件的供应商；不足</w:t>
      </w:r>
      <w:r>
        <w:rPr>
          <w:rStyle w:val="97"/>
          <w:color w:val="auto"/>
          <w:sz w:val="24"/>
          <w:szCs w:val="24"/>
          <w:highlight w:val="none"/>
        </w:rPr>
        <w:t>5</w:t>
      </w:r>
      <w:r>
        <w:rPr>
          <w:rStyle w:val="97"/>
          <w:rFonts w:hint="eastAsia"/>
          <w:color w:val="auto"/>
          <w:sz w:val="24"/>
          <w:szCs w:val="24"/>
          <w:highlight w:val="none"/>
        </w:rPr>
        <w:t>日的，采购人、采购代理机构将顺延提交首次响应文件截止时间。</w:t>
      </w:r>
    </w:p>
    <w:p w14:paraId="22EC7A38">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5.2</w:t>
      </w:r>
      <w:r>
        <w:rPr>
          <w:rStyle w:val="97"/>
          <w:color w:val="auto"/>
          <w:sz w:val="24"/>
          <w:szCs w:val="24"/>
          <w:highlight w:val="none"/>
        </w:rPr>
        <w:tab/>
      </w:r>
      <w:r>
        <w:rPr>
          <w:rStyle w:val="97"/>
          <w:rFonts w:hint="eastAsia"/>
          <w:color w:val="auto"/>
          <w:sz w:val="24"/>
          <w:szCs w:val="24"/>
          <w:highlight w:val="none"/>
        </w:rPr>
        <w:t>如供应商对磋商文件内容有疑义，需在供应商须知资料表中规定的时间前以书面形式向采购代理机构提出，采购代理机构收到将进行书面答复。如答复内容需要对磋商文件进行澄清和修改的将按照第</w:t>
      </w:r>
      <w:r>
        <w:rPr>
          <w:rStyle w:val="97"/>
          <w:color w:val="auto"/>
          <w:sz w:val="24"/>
          <w:szCs w:val="24"/>
          <w:highlight w:val="none"/>
        </w:rPr>
        <w:t>5.1</w:t>
      </w:r>
      <w:r>
        <w:rPr>
          <w:rStyle w:val="97"/>
          <w:rFonts w:hint="eastAsia"/>
          <w:color w:val="auto"/>
          <w:sz w:val="24"/>
          <w:szCs w:val="24"/>
          <w:highlight w:val="none"/>
        </w:rPr>
        <w:t>条执行。</w:t>
      </w:r>
    </w:p>
    <w:p w14:paraId="674B2CFE">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5.3</w:t>
      </w:r>
      <w:r>
        <w:rPr>
          <w:rStyle w:val="97"/>
          <w:rFonts w:hint="eastAsia"/>
          <w:color w:val="auto"/>
          <w:sz w:val="24"/>
          <w:szCs w:val="24"/>
          <w:highlight w:val="none"/>
        </w:rPr>
        <w:t>在采购需求明确以后，采购人会依据磋商会议纪要及磋商小组要求对磋商文件进行变动。磋商文件的变动主要包含采购需求中的技术、服务要求以及合同草案条款等，并将磋商文件的全部变动内容发给参与磋商的供应商。</w:t>
      </w:r>
    </w:p>
    <w:p w14:paraId="5B044D35">
      <w:pPr>
        <w:pageBreakBefore w:val="0"/>
        <w:kinsoku/>
        <w:wordWrap/>
        <w:overflowPunct/>
        <w:autoSpaceDE/>
        <w:autoSpaceDN/>
        <w:bidi w:val="0"/>
        <w:spacing w:after="0" w:line="560" w:lineRule="exact"/>
        <w:ind w:firstLine="482" w:firstLineChars="200"/>
        <w:jc w:val="center"/>
        <w:rPr>
          <w:rStyle w:val="97"/>
          <w:b/>
          <w:color w:val="auto"/>
          <w:sz w:val="24"/>
          <w:szCs w:val="24"/>
          <w:highlight w:val="none"/>
        </w:rPr>
      </w:pPr>
      <w:r>
        <w:rPr>
          <w:rStyle w:val="97"/>
          <w:rFonts w:hint="eastAsia"/>
          <w:b/>
          <w:color w:val="auto"/>
          <w:sz w:val="24"/>
          <w:szCs w:val="24"/>
          <w:highlight w:val="none"/>
        </w:rPr>
        <w:t>三、响应文件的编制</w:t>
      </w:r>
    </w:p>
    <w:p w14:paraId="3E56B5BC">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6.</w:t>
      </w:r>
      <w:r>
        <w:rPr>
          <w:rStyle w:val="97"/>
          <w:rFonts w:hint="eastAsia" w:cs="宋体"/>
          <w:b/>
          <w:bCs/>
          <w:color w:val="auto"/>
          <w:sz w:val="24"/>
          <w:szCs w:val="24"/>
          <w:highlight w:val="none"/>
        </w:rPr>
        <w:t>磋商的语言与计量</w:t>
      </w:r>
    </w:p>
    <w:p w14:paraId="4697BA3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6.1  </w:t>
      </w:r>
      <w:r>
        <w:rPr>
          <w:rStyle w:val="97"/>
          <w:rFonts w:hint="eastAsia"/>
          <w:color w:val="auto"/>
          <w:sz w:val="24"/>
          <w:szCs w:val="24"/>
          <w:highlight w:val="none"/>
        </w:rPr>
        <w:t>供应商提交的响应文件以及供应商与采购人和采购代理机构就有关磋商的所有来往函电均以中文文字书写。供应商提交的支持资料和已印刷的证件或资料可以用另一种语言，但相应内容应附有中文的翻译本，在解释响应文件时以翻译文本为准。</w:t>
      </w:r>
    </w:p>
    <w:p w14:paraId="54D0F217">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6.2  </w:t>
      </w:r>
      <w:r>
        <w:rPr>
          <w:rStyle w:val="97"/>
          <w:rFonts w:hint="eastAsia"/>
          <w:color w:val="auto"/>
          <w:sz w:val="24"/>
          <w:szCs w:val="24"/>
          <w:highlight w:val="none"/>
        </w:rPr>
        <w:t>除在磋商文件的技术规格中另有规定外，计量单位应使用中华人民共和国法定计量单位。</w:t>
      </w:r>
    </w:p>
    <w:p w14:paraId="572087B6">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7.</w:t>
      </w:r>
      <w:r>
        <w:rPr>
          <w:rStyle w:val="97"/>
          <w:rFonts w:hint="eastAsia" w:cs="宋体"/>
          <w:b/>
          <w:bCs/>
          <w:color w:val="auto"/>
          <w:sz w:val="24"/>
          <w:szCs w:val="24"/>
          <w:highlight w:val="none"/>
        </w:rPr>
        <w:t>响应文件的编写</w:t>
      </w:r>
    </w:p>
    <w:p w14:paraId="403F605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7.1</w:t>
      </w:r>
      <w:r>
        <w:rPr>
          <w:rStyle w:val="97"/>
          <w:rFonts w:hint="eastAsia"/>
          <w:color w:val="auto"/>
          <w:sz w:val="24"/>
          <w:szCs w:val="24"/>
          <w:highlight w:val="none"/>
        </w:rPr>
        <w:t>供应商应按照响应文件格式完整地填写磋商响应文件，并对其提交的响应文件的真实性、合法性承担法律责任。</w:t>
      </w:r>
    </w:p>
    <w:p w14:paraId="70397807">
      <w:pPr>
        <w:pageBreakBefore w:val="0"/>
        <w:tabs>
          <w:tab w:val="left" w:pos="627"/>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8.</w:t>
      </w:r>
      <w:r>
        <w:rPr>
          <w:rStyle w:val="97"/>
          <w:rFonts w:hint="eastAsia" w:cs="宋体"/>
          <w:b/>
          <w:bCs/>
          <w:color w:val="auto"/>
          <w:sz w:val="24"/>
          <w:szCs w:val="24"/>
          <w:highlight w:val="none"/>
        </w:rPr>
        <w:t>磋商价格</w:t>
      </w:r>
    </w:p>
    <w:p w14:paraId="003D53E1">
      <w:pPr>
        <w:pageBreakBefore w:val="0"/>
        <w:kinsoku/>
        <w:wordWrap/>
        <w:overflowPunct/>
        <w:autoSpaceDE/>
        <w:autoSpaceDN/>
        <w:bidi w:val="0"/>
        <w:spacing w:after="0" w:line="560" w:lineRule="exact"/>
        <w:ind w:firstLine="480" w:firstLineChars="200"/>
        <w:rPr>
          <w:rStyle w:val="97"/>
          <w:rFonts w:hint="default" w:eastAsia="宋体"/>
          <w:color w:val="auto"/>
          <w:sz w:val="24"/>
          <w:szCs w:val="24"/>
          <w:highlight w:val="none"/>
          <w:lang w:val="en-US" w:eastAsia="zh-CN"/>
        </w:rPr>
      </w:pPr>
      <w:r>
        <w:rPr>
          <w:rStyle w:val="97"/>
          <w:color w:val="auto"/>
          <w:sz w:val="24"/>
          <w:szCs w:val="24"/>
          <w:highlight w:val="none"/>
        </w:rPr>
        <w:t>8.1</w:t>
      </w:r>
      <w:r>
        <w:rPr>
          <w:rStyle w:val="97"/>
          <w:rFonts w:hint="eastAsia"/>
          <w:color w:val="auto"/>
          <w:sz w:val="24"/>
          <w:szCs w:val="24"/>
          <w:highlight w:val="none"/>
          <w:lang w:val="en-US" w:eastAsia="zh-CN"/>
        </w:rPr>
        <w:t>本项目报价方式为单价报价。</w:t>
      </w:r>
    </w:p>
    <w:p w14:paraId="199FAE6D">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lang w:val="en-US" w:eastAsia="zh-CN"/>
        </w:rPr>
        <w:t>8.2</w:t>
      </w:r>
      <w:r>
        <w:rPr>
          <w:rStyle w:val="97"/>
          <w:rFonts w:hint="eastAsia"/>
          <w:color w:val="auto"/>
          <w:sz w:val="24"/>
          <w:szCs w:val="24"/>
          <w:highlight w:val="none"/>
        </w:rPr>
        <w:t>供应商根据项目情况及采购人给出的项目实施方案填报磋商价格。除非有特别声明或磋商达成一致的，未列明的将视为包含在磋商价格中。</w:t>
      </w:r>
    </w:p>
    <w:p w14:paraId="4581065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8.</w:t>
      </w:r>
      <w:r>
        <w:rPr>
          <w:rStyle w:val="97"/>
          <w:rFonts w:hint="eastAsia"/>
          <w:color w:val="auto"/>
          <w:sz w:val="24"/>
          <w:szCs w:val="24"/>
          <w:highlight w:val="none"/>
          <w:lang w:val="en-US" w:eastAsia="zh-CN"/>
        </w:rPr>
        <w:t>3</w:t>
      </w:r>
      <w:r>
        <w:rPr>
          <w:rStyle w:val="97"/>
          <w:color w:val="auto"/>
          <w:sz w:val="24"/>
          <w:szCs w:val="24"/>
          <w:highlight w:val="none"/>
        </w:rPr>
        <w:t xml:space="preserve"> </w:t>
      </w:r>
      <w:r>
        <w:rPr>
          <w:rStyle w:val="97"/>
          <w:rFonts w:hint="eastAsia"/>
          <w:color w:val="auto"/>
          <w:sz w:val="24"/>
          <w:szCs w:val="24"/>
          <w:highlight w:val="none"/>
        </w:rPr>
        <w:t>磋商价格中不应含有磋商文件要求以外的内容，否则在磋商过程中不予核减。</w:t>
      </w:r>
    </w:p>
    <w:p w14:paraId="0C8DC71E">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8.</w:t>
      </w:r>
      <w:r>
        <w:rPr>
          <w:rStyle w:val="97"/>
          <w:rFonts w:hint="eastAsia"/>
          <w:color w:val="auto"/>
          <w:sz w:val="24"/>
          <w:szCs w:val="24"/>
          <w:highlight w:val="none"/>
          <w:lang w:val="en-US" w:eastAsia="zh-CN"/>
        </w:rPr>
        <w:t>4</w:t>
      </w:r>
      <w:r>
        <w:rPr>
          <w:rStyle w:val="97"/>
          <w:color w:val="auto"/>
          <w:sz w:val="24"/>
          <w:szCs w:val="24"/>
          <w:highlight w:val="none"/>
        </w:rPr>
        <w:t xml:space="preserve"> </w:t>
      </w:r>
      <w:r>
        <w:rPr>
          <w:rStyle w:val="97"/>
          <w:rFonts w:hint="eastAsia"/>
          <w:color w:val="auto"/>
          <w:sz w:val="24"/>
          <w:szCs w:val="24"/>
          <w:highlight w:val="none"/>
        </w:rPr>
        <w:t>本次磋商不接受选择性报价或者有附加条件的报价。</w:t>
      </w:r>
    </w:p>
    <w:p w14:paraId="6CFC453D">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9.</w:t>
      </w:r>
      <w:r>
        <w:rPr>
          <w:rStyle w:val="97"/>
          <w:rFonts w:hint="eastAsia" w:cs="宋体"/>
          <w:b/>
          <w:bCs/>
          <w:color w:val="auto"/>
          <w:sz w:val="24"/>
          <w:szCs w:val="24"/>
          <w:highlight w:val="none"/>
        </w:rPr>
        <w:t>证明供应商合格和资格的文件</w:t>
      </w:r>
    </w:p>
    <w:p w14:paraId="147611F7">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9.1 </w:t>
      </w:r>
      <w:r>
        <w:rPr>
          <w:rStyle w:val="97"/>
          <w:rFonts w:hint="eastAsia"/>
          <w:color w:val="auto"/>
          <w:sz w:val="24"/>
          <w:szCs w:val="24"/>
          <w:highlight w:val="none"/>
        </w:rPr>
        <w:t>供应商应提交证明其有资格参加磋商的文件，并作为其响应文件的一部分。</w:t>
      </w:r>
    </w:p>
    <w:p w14:paraId="6DCDE597">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9.2 </w:t>
      </w:r>
      <w:r>
        <w:rPr>
          <w:rStyle w:val="97"/>
          <w:rFonts w:hint="eastAsia"/>
          <w:color w:val="auto"/>
          <w:sz w:val="24"/>
          <w:szCs w:val="24"/>
          <w:highlight w:val="none"/>
        </w:rPr>
        <w:t>在磋商过程中，供应商发生合并、分立、破产等重大变化时，应当及时书面告知采购人。</w:t>
      </w:r>
    </w:p>
    <w:p w14:paraId="7D34A0C4">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10.</w:t>
      </w:r>
      <w:r>
        <w:rPr>
          <w:rStyle w:val="97"/>
          <w:rFonts w:hint="eastAsia" w:cs="宋体"/>
          <w:b/>
          <w:bCs/>
          <w:color w:val="auto"/>
          <w:sz w:val="24"/>
          <w:szCs w:val="24"/>
          <w:highlight w:val="none"/>
        </w:rPr>
        <w:t>磋商保证金承</w:t>
      </w:r>
    </w:p>
    <w:p w14:paraId="23F1F29C">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10.1</w:t>
      </w:r>
      <w:r>
        <w:rPr>
          <w:rStyle w:val="97"/>
          <w:rFonts w:hint="eastAsia"/>
          <w:color w:val="auto"/>
          <w:sz w:val="24"/>
          <w:szCs w:val="24"/>
          <w:highlight w:val="none"/>
        </w:rPr>
        <w:t>供应商按磋商文件规定提交保证金承诺函。</w:t>
      </w:r>
    </w:p>
    <w:p w14:paraId="69C98A20">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11.</w:t>
      </w:r>
      <w:r>
        <w:rPr>
          <w:rStyle w:val="97"/>
          <w:rFonts w:hint="eastAsia" w:cs="宋体"/>
          <w:b/>
          <w:bCs/>
          <w:color w:val="auto"/>
          <w:sz w:val="24"/>
          <w:szCs w:val="24"/>
          <w:highlight w:val="none"/>
        </w:rPr>
        <w:t>响应文件的式样和签署</w:t>
      </w:r>
    </w:p>
    <w:p w14:paraId="53C6C096">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11.1</w:t>
      </w:r>
      <w:r>
        <w:rPr>
          <w:rStyle w:val="97"/>
          <w:rFonts w:hint="eastAsia"/>
          <w:color w:val="auto"/>
          <w:sz w:val="24"/>
          <w:szCs w:val="24"/>
          <w:highlight w:val="none"/>
        </w:rPr>
        <w:t>任何行间插字、涂改和增删，必须由供应商的签字人在旁边签字或盖章才有效。</w:t>
      </w:r>
    </w:p>
    <w:p w14:paraId="1819295F">
      <w:pPr>
        <w:pageBreakBefore w:val="0"/>
        <w:kinsoku/>
        <w:wordWrap/>
        <w:overflowPunct/>
        <w:autoSpaceDE/>
        <w:autoSpaceDN/>
        <w:bidi w:val="0"/>
        <w:spacing w:after="0" w:line="560" w:lineRule="exact"/>
        <w:ind w:firstLine="482" w:firstLineChars="200"/>
        <w:jc w:val="center"/>
        <w:rPr>
          <w:rStyle w:val="97"/>
          <w:b/>
          <w:color w:val="auto"/>
          <w:sz w:val="24"/>
          <w:szCs w:val="24"/>
          <w:highlight w:val="none"/>
        </w:rPr>
      </w:pPr>
      <w:r>
        <w:rPr>
          <w:rStyle w:val="97"/>
          <w:rFonts w:hint="eastAsia"/>
          <w:b/>
          <w:color w:val="auto"/>
          <w:sz w:val="24"/>
          <w:szCs w:val="24"/>
          <w:highlight w:val="none"/>
        </w:rPr>
        <w:t>四、响应文件的递交</w:t>
      </w:r>
    </w:p>
    <w:p w14:paraId="418ED2D1">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12.</w:t>
      </w:r>
      <w:r>
        <w:rPr>
          <w:rStyle w:val="97"/>
          <w:rFonts w:hint="eastAsia" w:cs="宋体"/>
          <w:b/>
          <w:bCs/>
          <w:color w:val="auto"/>
          <w:sz w:val="24"/>
          <w:szCs w:val="24"/>
          <w:highlight w:val="none"/>
        </w:rPr>
        <w:t>递交截止时间</w:t>
      </w:r>
    </w:p>
    <w:p w14:paraId="221FEED9">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12.1</w:t>
      </w:r>
      <w:r>
        <w:rPr>
          <w:rStyle w:val="97"/>
          <w:rFonts w:hint="eastAsia"/>
          <w:color w:val="auto"/>
          <w:sz w:val="24"/>
          <w:szCs w:val="24"/>
          <w:highlight w:val="none"/>
        </w:rPr>
        <w:t>供应商应在不迟于规定的递交截止时间将响应文件上传至郑州市公共资源交易平台。采购人将拒绝接收规定的上传截止时间后收到的任何响应文件。</w:t>
      </w:r>
    </w:p>
    <w:p w14:paraId="3AA64DAF">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12.2</w:t>
      </w:r>
      <w:r>
        <w:rPr>
          <w:rStyle w:val="97"/>
          <w:rFonts w:hint="eastAsia"/>
          <w:color w:val="auto"/>
          <w:sz w:val="24"/>
          <w:szCs w:val="24"/>
          <w:highlight w:val="none"/>
        </w:rPr>
        <w:t>采购人可以按有关规定推迟递交截止时间。在此情况下，采购人、采购代理机构和供应商受递交截止时间制约的所有权利和义务均应延长至新的递交截止时间。</w:t>
      </w:r>
    </w:p>
    <w:p w14:paraId="213ADF0C">
      <w:pPr>
        <w:pageBreakBefore w:val="0"/>
        <w:tabs>
          <w:tab w:val="left" w:pos="641"/>
        </w:tabs>
        <w:kinsoku/>
        <w:wordWrap/>
        <w:overflowPunct/>
        <w:autoSpaceDE/>
        <w:autoSpaceDN/>
        <w:bidi w:val="0"/>
        <w:spacing w:after="0" w:line="560" w:lineRule="exact"/>
        <w:rPr>
          <w:rStyle w:val="97"/>
          <w:color w:val="auto"/>
          <w:sz w:val="24"/>
          <w:szCs w:val="24"/>
          <w:highlight w:val="none"/>
        </w:rPr>
      </w:pPr>
      <w:r>
        <w:rPr>
          <w:rStyle w:val="97"/>
          <w:rFonts w:cs="宋体"/>
          <w:b/>
          <w:bCs/>
          <w:color w:val="auto"/>
          <w:sz w:val="24"/>
          <w:szCs w:val="24"/>
          <w:highlight w:val="none"/>
        </w:rPr>
        <w:t>13.</w:t>
      </w:r>
      <w:r>
        <w:rPr>
          <w:rStyle w:val="97"/>
          <w:rFonts w:hint="eastAsia" w:cs="宋体"/>
          <w:b/>
          <w:bCs/>
          <w:color w:val="auto"/>
          <w:sz w:val="24"/>
          <w:szCs w:val="24"/>
          <w:highlight w:val="none"/>
        </w:rPr>
        <w:t>响应文件的修改与撤回</w:t>
      </w:r>
    </w:p>
    <w:p w14:paraId="7E7FE7A4">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13.1 </w:t>
      </w:r>
      <w:r>
        <w:rPr>
          <w:rStyle w:val="97"/>
          <w:rFonts w:hint="eastAsia"/>
          <w:color w:val="auto"/>
          <w:sz w:val="24"/>
          <w:szCs w:val="24"/>
          <w:highlight w:val="none"/>
        </w:rPr>
        <w:t>在规定的递交截止时间前，供应商可以修改或撤回已递交的响应文件，但应以书面形式通知采购人。</w:t>
      </w:r>
    </w:p>
    <w:p w14:paraId="4B2E92F9">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13.3 </w:t>
      </w:r>
      <w:r>
        <w:rPr>
          <w:rStyle w:val="97"/>
          <w:rFonts w:hint="eastAsia"/>
          <w:color w:val="auto"/>
          <w:sz w:val="24"/>
          <w:szCs w:val="24"/>
          <w:highlight w:val="none"/>
        </w:rPr>
        <w:t>修改的内容为响应文件的组成部分。修改的响应文件应按照规定进行编制和上传，并标明“修改”字样。</w:t>
      </w:r>
    </w:p>
    <w:p w14:paraId="34F6D886">
      <w:pPr>
        <w:pageBreakBefore w:val="0"/>
        <w:kinsoku/>
        <w:wordWrap/>
        <w:overflowPunct/>
        <w:autoSpaceDE/>
        <w:autoSpaceDN/>
        <w:bidi w:val="0"/>
        <w:spacing w:after="0" w:line="560" w:lineRule="exact"/>
        <w:ind w:firstLine="482" w:firstLineChars="200"/>
        <w:jc w:val="center"/>
        <w:rPr>
          <w:rStyle w:val="97"/>
          <w:b/>
          <w:color w:val="auto"/>
          <w:sz w:val="24"/>
          <w:szCs w:val="24"/>
          <w:highlight w:val="none"/>
        </w:rPr>
      </w:pPr>
      <w:r>
        <w:rPr>
          <w:rStyle w:val="97"/>
          <w:rFonts w:hint="eastAsia"/>
          <w:b/>
          <w:color w:val="auto"/>
          <w:sz w:val="24"/>
          <w:szCs w:val="24"/>
          <w:highlight w:val="none"/>
        </w:rPr>
        <w:t>五、竞争性磋商和评审</w:t>
      </w:r>
    </w:p>
    <w:p w14:paraId="656A2993">
      <w:pPr>
        <w:pageBreakBefore w:val="0"/>
        <w:tabs>
          <w:tab w:val="left" w:pos="641"/>
        </w:tabs>
        <w:kinsoku/>
        <w:wordWrap/>
        <w:overflowPunct/>
        <w:autoSpaceDE/>
        <w:autoSpaceDN/>
        <w:bidi w:val="0"/>
        <w:spacing w:after="0" w:line="560" w:lineRule="exact"/>
        <w:rPr>
          <w:rStyle w:val="97"/>
          <w:color w:val="auto"/>
          <w:sz w:val="24"/>
          <w:szCs w:val="24"/>
          <w:highlight w:val="none"/>
        </w:rPr>
      </w:pPr>
      <w:r>
        <w:rPr>
          <w:rStyle w:val="97"/>
          <w:rFonts w:cs="宋体"/>
          <w:b/>
          <w:bCs/>
          <w:color w:val="auto"/>
          <w:sz w:val="24"/>
          <w:szCs w:val="24"/>
          <w:highlight w:val="none"/>
        </w:rPr>
        <w:t>14.</w:t>
      </w:r>
      <w:r>
        <w:rPr>
          <w:rStyle w:val="97"/>
          <w:rFonts w:hint="eastAsia" w:cs="宋体"/>
          <w:b/>
          <w:bCs/>
          <w:color w:val="auto"/>
          <w:sz w:val="24"/>
          <w:szCs w:val="24"/>
          <w:highlight w:val="none"/>
        </w:rPr>
        <w:t>竞争性磋商</w:t>
      </w:r>
    </w:p>
    <w:p w14:paraId="1D83C0D9">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14.1 </w:t>
      </w:r>
      <w:r>
        <w:rPr>
          <w:rStyle w:val="97"/>
          <w:rFonts w:hint="eastAsia"/>
          <w:color w:val="auto"/>
          <w:sz w:val="24"/>
          <w:szCs w:val="24"/>
          <w:highlight w:val="none"/>
        </w:rPr>
        <w:t>采购人或采购代理机构将在规定的时间和地点组织磋商工作。</w:t>
      </w:r>
    </w:p>
    <w:p w14:paraId="7D6FFC18">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14.2 </w:t>
      </w:r>
      <w:r>
        <w:rPr>
          <w:rStyle w:val="97"/>
          <w:rFonts w:hint="eastAsia"/>
          <w:color w:val="auto"/>
          <w:sz w:val="24"/>
          <w:szCs w:val="24"/>
          <w:highlight w:val="none"/>
        </w:rPr>
        <w:t>解密响应文件过程中，采购人、采购代理机构及监督部门将对响应文件集体解密。</w:t>
      </w:r>
    </w:p>
    <w:p w14:paraId="502EB0C4">
      <w:pPr>
        <w:pageBreakBefore w:val="0"/>
        <w:tabs>
          <w:tab w:val="left" w:pos="641"/>
        </w:tabs>
        <w:kinsoku/>
        <w:wordWrap/>
        <w:overflowPunct/>
        <w:autoSpaceDE/>
        <w:autoSpaceDN/>
        <w:bidi w:val="0"/>
        <w:spacing w:after="0" w:line="560" w:lineRule="exact"/>
        <w:rPr>
          <w:rStyle w:val="97"/>
          <w:color w:val="auto"/>
          <w:sz w:val="24"/>
          <w:szCs w:val="24"/>
          <w:highlight w:val="none"/>
        </w:rPr>
      </w:pPr>
      <w:r>
        <w:rPr>
          <w:rStyle w:val="97"/>
          <w:rFonts w:cs="宋体"/>
          <w:b/>
          <w:bCs/>
          <w:color w:val="auto"/>
          <w:sz w:val="24"/>
          <w:szCs w:val="24"/>
          <w:highlight w:val="none"/>
        </w:rPr>
        <w:t>15.</w:t>
      </w:r>
      <w:r>
        <w:rPr>
          <w:rStyle w:val="97"/>
          <w:rFonts w:hint="eastAsia" w:cs="宋体"/>
          <w:b/>
          <w:bCs/>
          <w:color w:val="auto"/>
          <w:sz w:val="24"/>
          <w:szCs w:val="24"/>
          <w:highlight w:val="none"/>
        </w:rPr>
        <w:t>磋商小组和评审方法</w:t>
      </w:r>
    </w:p>
    <w:p w14:paraId="4B1B68DA">
      <w:pPr>
        <w:pageBreakBefore w:val="0"/>
        <w:kinsoku/>
        <w:wordWrap/>
        <w:overflowPunct/>
        <w:autoSpaceDE/>
        <w:autoSpaceDN/>
        <w:bidi w:val="0"/>
        <w:spacing w:after="0" w:line="560" w:lineRule="exact"/>
        <w:ind w:firstLine="480"/>
        <w:rPr>
          <w:rStyle w:val="97"/>
          <w:color w:val="auto"/>
          <w:sz w:val="24"/>
          <w:szCs w:val="24"/>
          <w:highlight w:val="none"/>
        </w:rPr>
      </w:pPr>
      <w:r>
        <w:rPr>
          <w:rStyle w:val="97"/>
          <w:color w:val="auto"/>
          <w:sz w:val="24"/>
          <w:szCs w:val="24"/>
          <w:highlight w:val="none"/>
        </w:rPr>
        <w:t>15.1</w:t>
      </w:r>
      <w:r>
        <w:rPr>
          <w:rStyle w:val="97"/>
          <w:rFonts w:hint="eastAsia"/>
          <w:color w:val="auto"/>
          <w:sz w:val="24"/>
          <w:szCs w:val="24"/>
          <w:highlight w:val="none"/>
        </w:rPr>
        <w:t>采购人将根据本竞争性磋商采购的特点组建竞争性磋商小组，其成员由</w:t>
      </w:r>
      <w:r>
        <w:rPr>
          <w:rStyle w:val="97"/>
          <w:rFonts w:hint="eastAsia"/>
          <w:color w:val="auto"/>
          <w:sz w:val="24"/>
          <w:szCs w:val="24"/>
          <w:highlight w:val="none"/>
          <w:lang w:val="en-US" w:eastAsia="zh-CN"/>
        </w:rPr>
        <w:t>采购人代表和评审专家</w:t>
      </w:r>
      <w:r>
        <w:rPr>
          <w:rStyle w:val="97"/>
          <w:rFonts w:hint="eastAsia"/>
          <w:color w:val="auto"/>
          <w:sz w:val="24"/>
          <w:szCs w:val="24"/>
          <w:highlight w:val="none"/>
        </w:rPr>
        <w:t>（从依法组建的专家库抽取）</w:t>
      </w:r>
      <w:r>
        <w:rPr>
          <w:rStyle w:val="97"/>
          <w:color w:val="auto"/>
          <w:sz w:val="24"/>
          <w:szCs w:val="24"/>
          <w:highlight w:val="none"/>
        </w:rPr>
        <w:t>3</w:t>
      </w:r>
      <w:r>
        <w:rPr>
          <w:rStyle w:val="97"/>
          <w:rFonts w:hint="eastAsia"/>
          <w:color w:val="auto"/>
          <w:sz w:val="24"/>
          <w:szCs w:val="24"/>
          <w:highlight w:val="none"/>
        </w:rPr>
        <w:t>人组成</w:t>
      </w:r>
      <w:r>
        <w:rPr>
          <w:rStyle w:val="97"/>
          <w:rFonts w:hint="eastAsia"/>
          <w:color w:val="auto"/>
          <w:sz w:val="24"/>
          <w:szCs w:val="24"/>
          <w:highlight w:val="none"/>
          <w:lang w:eastAsia="zh-CN"/>
        </w:rPr>
        <w:t>，其中评审专家人数不得少于磋商小组成员总数的2/3</w:t>
      </w:r>
      <w:r>
        <w:rPr>
          <w:rStyle w:val="97"/>
          <w:rFonts w:hint="eastAsia"/>
          <w:color w:val="auto"/>
          <w:sz w:val="24"/>
          <w:szCs w:val="24"/>
          <w:highlight w:val="none"/>
        </w:rPr>
        <w:t>。竞争性磋商小组对响应文件进行审查、质疑、评估和比较。</w:t>
      </w:r>
    </w:p>
    <w:p w14:paraId="698796DC">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15.2 </w:t>
      </w:r>
      <w:r>
        <w:rPr>
          <w:rStyle w:val="97"/>
          <w:rFonts w:hint="eastAsia"/>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3A724786">
      <w:pPr>
        <w:pageBreakBefore w:val="0"/>
        <w:kinsoku/>
        <w:wordWrap/>
        <w:overflowPunct/>
        <w:autoSpaceDE/>
        <w:autoSpaceDN/>
        <w:bidi w:val="0"/>
        <w:spacing w:after="0" w:line="560" w:lineRule="exact"/>
        <w:ind w:firstLine="480" w:firstLineChars="200"/>
        <w:rPr>
          <w:rStyle w:val="97"/>
          <w:rFonts w:hint="eastAsia"/>
          <w:color w:val="auto"/>
          <w:sz w:val="24"/>
          <w:szCs w:val="24"/>
          <w:highlight w:val="none"/>
        </w:rPr>
      </w:pPr>
      <w:r>
        <w:rPr>
          <w:rStyle w:val="97"/>
          <w:color w:val="auto"/>
          <w:sz w:val="24"/>
          <w:szCs w:val="24"/>
          <w:highlight w:val="none"/>
        </w:rPr>
        <w:t xml:space="preserve">15.3 </w:t>
      </w:r>
      <w:r>
        <w:rPr>
          <w:rStyle w:val="97"/>
          <w:rFonts w:hint="eastAsia"/>
          <w:color w:val="auto"/>
          <w:sz w:val="24"/>
          <w:szCs w:val="24"/>
          <w:highlight w:val="none"/>
        </w:rPr>
        <w:t>磋商小组将首先对响应文件进行初审。对初审合格的响应文件进行磋商和评审。</w:t>
      </w:r>
    </w:p>
    <w:p w14:paraId="5BE6EBD9">
      <w:r>
        <w:br w:type="page"/>
      </w:r>
    </w:p>
    <w:tbl>
      <w:tblPr>
        <w:tblStyle w:val="22"/>
        <w:tblpPr w:vertAnchor="page" w:horzAnchor="page" w:tblpXSpec="center" w:tblpY="1451"/>
        <w:tblW w:w="8883" w:type="dxa"/>
        <w:jc w:val="center"/>
        <w:tblLayout w:type="fixed"/>
        <w:tblCellMar>
          <w:top w:w="0" w:type="dxa"/>
          <w:left w:w="0" w:type="dxa"/>
          <w:bottom w:w="0" w:type="dxa"/>
          <w:right w:w="0" w:type="dxa"/>
        </w:tblCellMar>
      </w:tblPr>
      <w:tblGrid>
        <w:gridCol w:w="862"/>
        <w:gridCol w:w="1989"/>
        <w:gridCol w:w="6032"/>
      </w:tblGrid>
      <w:tr w14:paraId="27405142">
        <w:tblPrEx>
          <w:tblCellMar>
            <w:top w:w="0" w:type="dxa"/>
            <w:left w:w="0" w:type="dxa"/>
            <w:bottom w:w="0" w:type="dxa"/>
            <w:right w:w="0" w:type="dxa"/>
          </w:tblCellMar>
        </w:tblPrEx>
        <w:trPr>
          <w:trHeight w:val="23"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27A4ECB">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条款</w:t>
            </w:r>
          </w:p>
        </w:tc>
        <w:tc>
          <w:tcPr>
            <w:tcW w:w="1989" w:type="dxa"/>
            <w:tcBorders>
              <w:top w:val="single" w:color="000000" w:sz="4" w:space="0"/>
              <w:left w:val="single" w:color="000000" w:sz="4" w:space="0"/>
              <w:bottom w:val="single" w:color="000000" w:sz="4" w:space="0"/>
              <w:right w:val="single" w:color="000000" w:sz="4" w:space="0"/>
            </w:tcBorders>
            <w:vAlign w:val="center"/>
          </w:tcPr>
          <w:p w14:paraId="36EC0DCF">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评审因素</w:t>
            </w:r>
          </w:p>
        </w:tc>
        <w:tc>
          <w:tcPr>
            <w:tcW w:w="6032" w:type="dxa"/>
            <w:tcBorders>
              <w:top w:val="single" w:color="000000" w:sz="4" w:space="0"/>
              <w:left w:val="single" w:color="000000" w:sz="4" w:space="0"/>
              <w:bottom w:val="single" w:color="000000" w:sz="4" w:space="0"/>
              <w:right w:val="single" w:color="000000" w:sz="4" w:space="0"/>
            </w:tcBorders>
            <w:vAlign w:val="center"/>
          </w:tcPr>
          <w:p w14:paraId="1A79575B">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评审标准</w:t>
            </w:r>
          </w:p>
        </w:tc>
      </w:tr>
      <w:tr w14:paraId="12062F94">
        <w:tblPrEx>
          <w:tblCellMar>
            <w:top w:w="0" w:type="dxa"/>
            <w:left w:w="0" w:type="dxa"/>
            <w:bottom w:w="0" w:type="dxa"/>
            <w:right w:w="0" w:type="dxa"/>
          </w:tblCellMar>
        </w:tblPrEx>
        <w:trPr>
          <w:trHeight w:val="23" w:hRule="atLeast"/>
          <w:jc w:val="center"/>
        </w:trPr>
        <w:tc>
          <w:tcPr>
            <w:tcW w:w="862" w:type="dxa"/>
            <w:vMerge w:val="restart"/>
            <w:tcBorders>
              <w:top w:val="single" w:color="000000" w:sz="4" w:space="0"/>
              <w:left w:val="single" w:color="000000" w:sz="4" w:space="0"/>
              <w:bottom w:val="single" w:color="000000" w:sz="4" w:space="0"/>
              <w:right w:val="single" w:color="000000" w:sz="4" w:space="0"/>
            </w:tcBorders>
            <w:vAlign w:val="center"/>
          </w:tcPr>
          <w:p w14:paraId="5BCDEE29">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符合性评审标准</w:t>
            </w:r>
          </w:p>
        </w:tc>
        <w:tc>
          <w:tcPr>
            <w:tcW w:w="1989" w:type="dxa"/>
            <w:tcBorders>
              <w:top w:val="single" w:color="000000" w:sz="4" w:space="0"/>
              <w:left w:val="single" w:color="000000" w:sz="4" w:space="0"/>
              <w:bottom w:val="single" w:color="000000" w:sz="4" w:space="0"/>
              <w:right w:val="single" w:color="000000" w:sz="4" w:space="0"/>
            </w:tcBorders>
            <w:vAlign w:val="center"/>
          </w:tcPr>
          <w:p w14:paraId="716627CA">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供应商名称</w:t>
            </w:r>
          </w:p>
        </w:tc>
        <w:tc>
          <w:tcPr>
            <w:tcW w:w="6032" w:type="dxa"/>
            <w:tcBorders>
              <w:top w:val="single" w:color="000000" w:sz="4" w:space="0"/>
              <w:left w:val="single" w:color="000000" w:sz="4" w:space="0"/>
              <w:bottom w:val="single" w:color="000000" w:sz="4" w:space="0"/>
              <w:right w:val="single" w:color="000000" w:sz="4" w:space="0"/>
            </w:tcBorders>
            <w:vAlign w:val="center"/>
          </w:tcPr>
          <w:p w14:paraId="1C4FD1C8">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与营业执照、资格证书（如有）一致</w:t>
            </w:r>
          </w:p>
        </w:tc>
      </w:tr>
      <w:tr w14:paraId="46AA4BD9">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36DA853A">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6E28E09">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响应文件企业电子签章或盖章或个人电子签章或盖章或签字</w:t>
            </w:r>
          </w:p>
        </w:tc>
        <w:tc>
          <w:tcPr>
            <w:tcW w:w="6032" w:type="dxa"/>
            <w:tcBorders>
              <w:top w:val="single" w:color="000000" w:sz="4" w:space="0"/>
              <w:left w:val="single" w:color="000000" w:sz="4" w:space="0"/>
              <w:bottom w:val="single" w:color="000000" w:sz="4" w:space="0"/>
              <w:right w:val="single" w:color="000000" w:sz="4" w:space="0"/>
            </w:tcBorders>
            <w:vAlign w:val="center"/>
          </w:tcPr>
          <w:p w14:paraId="5B90FFE8">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按照竞争性磋商文件中提供的响应文件格式和要求企业电子签章或盖章或个人电子签章或盖章或签字</w:t>
            </w:r>
          </w:p>
        </w:tc>
      </w:tr>
      <w:tr w14:paraId="521CCEAB">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514DFCDF">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7B861AA">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响应文件格式</w:t>
            </w:r>
          </w:p>
        </w:tc>
        <w:tc>
          <w:tcPr>
            <w:tcW w:w="6032" w:type="dxa"/>
            <w:tcBorders>
              <w:top w:val="single" w:color="000000" w:sz="4" w:space="0"/>
              <w:left w:val="single" w:color="000000" w:sz="4" w:space="0"/>
              <w:bottom w:val="single" w:color="000000" w:sz="4" w:space="0"/>
              <w:right w:val="single" w:color="000000" w:sz="4" w:space="0"/>
            </w:tcBorders>
            <w:vAlign w:val="center"/>
          </w:tcPr>
          <w:p w14:paraId="081140E9">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符合竞争性磋商文件中提供的响应文件格式</w:t>
            </w:r>
          </w:p>
        </w:tc>
      </w:tr>
      <w:tr w14:paraId="66F1C746">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76149A7A">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2F5D270E">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报价唯一</w:t>
            </w:r>
          </w:p>
        </w:tc>
        <w:tc>
          <w:tcPr>
            <w:tcW w:w="6032" w:type="dxa"/>
            <w:tcBorders>
              <w:top w:val="single" w:color="000000" w:sz="4" w:space="0"/>
              <w:left w:val="single" w:color="000000" w:sz="4" w:space="0"/>
              <w:bottom w:val="single" w:color="000000" w:sz="4" w:space="0"/>
              <w:right w:val="single" w:color="000000" w:sz="4" w:space="0"/>
            </w:tcBorders>
            <w:vAlign w:val="center"/>
          </w:tcPr>
          <w:p w14:paraId="6CE136AC">
            <w:pPr>
              <w:pageBreakBefore w:val="0"/>
              <w:kinsoku/>
              <w:wordWrap/>
              <w:overflowPunct/>
              <w:autoSpaceDE/>
              <w:autoSpaceDN/>
              <w:bidi w:val="0"/>
              <w:spacing w:after="0" w:line="560" w:lineRule="exact"/>
              <w:jc w:val="left"/>
              <w:textAlignment w:val="auto"/>
              <w:rPr>
                <w:rStyle w:val="97"/>
                <w:rFonts w:hint="default" w:eastAsia="宋体"/>
                <w:color w:val="auto"/>
                <w:kern w:val="0"/>
                <w:sz w:val="24"/>
                <w:szCs w:val="24"/>
                <w:highlight w:val="none"/>
                <w:lang w:val="en-US" w:eastAsia="zh-CN"/>
              </w:rPr>
            </w:pPr>
            <w:r>
              <w:rPr>
                <w:rStyle w:val="97"/>
                <w:rFonts w:hint="eastAsia"/>
                <w:color w:val="auto"/>
                <w:kern w:val="0"/>
                <w:sz w:val="24"/>
                <w:szCs w:val="24"/>
                <w:highlight w:val="none"/>
              </w:rPr>
              <w:t>只能有一个有效报价，且未超过磋商</w:t>
            </w:r>
            <w:r>
              <w:rPr>
                <w:rStyle w:val="97"/>
                <w:rFonts w:hint="eastAsia"/>
                <w:color w:val="auto"/>
                <w:kern w:val="0"/>
                <w:sz w:val="24"/>
                <w:szCs w:val="24"/>
                <w:highlight w:val="none"/>
                <w:lang w:val="en-US" w:eastAsia="zh-CN"/>
              </w:rPr>
              <w:t>最高限价</w:t>
            </w:r>
          </w:p>
        </w:tc>
      </w:tr>
      <w:tr w14:paraId="79039DB2">
        <w:tblPrEx>
          <w:tblCellMar>
            <w:top w:w="0" w:type="dxa"/>
            <w:left w:w="0" w:type="dxa"/>
            <w:bottom w:w="0" w:type="dxa"/>
            <w:right w:w="0" w:type="dxa"/>
          </w:tblCellMar>
        </w:tblPrEx>
        <w:trPr>
          <w:trHeight w:val="23" w:hRule="atLeast"/>
          <w:jc w:val="center"/>
        </w:trPr>
        <w:tc>
          <w:tcPr>
            <w:tcW w:w="862" w:type="dxa"/>
            <w:vMerge w:val="restart"/>
            <w:tcBorders>
              <w:top w:val="single" w:color="000000" w:sz="4" w:space="0"/>
              <w:left w:val="single" w:color="000000" w:sz="4" w:space="0"/>
              <w:right w:val="single" w:color="000000" w:sz="4" w:space="0"/>
            </w:tcBorders>
            <w:vAlign w:val="center"/>
          </w:tcPr>
          <w:p w14:paraId="7942648D">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资格性评审标准</w:t>
            </w:r>
          </w:p>
        </w:tc>
        <w:tc>
          <w:tcPr>
            <w:tcW w:w="1989" w:type="dxa"/>
            <w:tcBorders>
              <w:top w:val="single" w:color="000000" w:sz="4" w:space="0"/>
              <w:left w:val="single" w:color="000000" w:sz="4" w:space="0"/>
              <w:bottom w:val="single" w:color="000000" w:sz="4" w:space="0"/>
              <w:right w:val="single" w:color="000000" w:sz="4" w:space="0"/>
            </w:tcBorders>
            <w:vAlign w:val="center"/>
          </w:tcPr>
          <w:p w14:paraId="6590F48F">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具有独立承担民事责任的能力</w:t>
            </w:r>
          </w:p>
        </w:tc>
        <w:tc>
          <w:tcPr>
            <w:tcW w:w="6032" w:type="dxa"/>
            <w:tcBorders>
              <w:top w:val="single" w:color="000000" w:sz="4" w:space="0"/>
              <w:left w:val="single" w:color="000000" w:sz="4" w:space="0"/>
              <w:bottom w:val="single" w:color="000000" w:sz="4" w:space="0"/>
              <w:right w:val="single" w:color="000000" w:sz="4" w:space="0"/>
            </w:tcBorders>
            <w:vAlign w:val="center"/>
          </w:tcPr>
          <w:p w14:paraId="619BC71D">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具备有效的营业执照等</w:t>
            </w:r>
          </w:p>
        </w:tc>
      </w:tr>
      <w:tr w14:paraId="6EBF8EAB">
        <w:tblPrEx>
          <w:tblCellMar>
            <w:top w:w="0" w:type="dxa"/>
            <w:left w:w="0" w:type="dxa"/>
            <w:bottom w:w="0" w:type="dxa"/>
            <w:right w:w="0" w:type="dxa"/>
          </w:tblCellMar>
        </w:tblPrEx>
        <w:trPr>
          <w:trHeight w:val="23" w:hRule="atLeast"/>
          <w:jc w:val="center"/>
        </w:trPr>
        <w:tc>
          <w:tcPr>
            <w:tcW w:w="862" w:type="dxa"/>
            <w:vMerge w:val="continue"/>
            <w:tcBorders>
              <w:left w:val="single" w:color="000000" w:sz="4" w:space="0"/>
              <w:right w:val="single" w:color="000000" w:sz="4" w:space="0"/>
            </w:tcBorders>
            <w:vAlign w:val="center"/>
          </w:tcPr>
          <w:p w14:paraId="5EC89D01">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51660048">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资格承诺声明函</w:t>
            </w:r>
          </w:p>
        </w:tc>
        <w:tc>
          <w:tcPr>
            <w:tcW w:w="6032" w:type="dxa"/>
            <w:tcBorders>
              <w:top w:val="single" w:color="000000" w:sz="4" w:space="0"/>
              <w:left w:val="single" w:color="000000" w:sz="4" w:space="0"/>
              <w:bottom w:val="single" w:color="000000" w:sz="4" w:space="0"/>
              <w:right w:val="single" w:color="000000" w:sz="4" w:space="0"/>
            </w:tcBorders>
            <w:vAlign w:val="center"/>
          </w:tcPr>
          <w:p w14:paraId="5E6D32BB">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资格承诺声明函</w:t>
            </w:r>
          </w:p>
        </w:tc>
      </w:tr>
      <w:tr w14:paraId="726AD5B9">
        <w:tblPrEx>
          <w:tblCellMar>
            <w:top w:w="0" w:type="dxa"/>
            <w:left w:w="0" w:type="dxa"/>
            <w:bottom w:w="0" w:type="dxa"/>
            <w:right w:w="0" w:type="dxa"/>
          </w:tblCellMar>
        </w:tblPrEx>
        <w:trPr>
          <w:trHeight w:val="23" w:hRule="atLeast"/>
          <w:jc w:val="center"/>
        </w:trPr>
        <w:tc>
          <w:tcPr>
            <w:tcW w:w="862" w:type="dxa"/>
            <w:vMerge w:val="continue"/>
            <w:tcBorders>
              <w:left w:val="single" w:color="000000" w:sz="4" w:space="0"/>
              <w:right w:val="single" w:color="000000" w:sz="4" w:space="0"/>
            </w:tcBorders>
            <w:vAlign w:val="center"/>
          </w:tcPr>
          <w:p w14:paraId="49C207B4">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803AA3C">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信用记录</w:t>
            </w:r>
          </w:p>
        </w:tc>
        <w:tc>
          <w:tcPr>
            <w:tcW w:w="6032" w:type="dxa"/>
            <w:tcBorders>
              <w:top w:val="single" w:color="000000" w:sz="4" w:space="0"/>
              <w:left w:val="single" w:color="000000" w:sz="4" w:space="0"/>
              <w:bottom w:val="single" w:color="000000" w:sz="4" w:space="0"/>
              <w:right w:val="single" w:color="000000" w:sz="4" w:space="0"/>
            </w:tcBorders>
            <w:vAlign w:val="center"/>
          </w:tcPr>
          <w:p w14:paraId="090C1F71">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Fonts w:hint="eastAsia" w:ascii="宋体" w:hAnsi="宋体" w:eastAsia="宋体" w:cs="宋体"/>
                <w:color w:val="auto"/>
                <w:sz w:val="24"/>
                <w:szCs w:val="24"/>
                <w:highlight w:val="none"/>
                <w:lang w:val="en-US" w:eastAsia="zh-CN"/>
              </w:rPr>
              <w:t>供应商未被</w:t>
            </w:r>
            <w:r>
              <w:rPr>
                <w:rFonts w:hint="eastAsia" w:ascii="宋体" w:hAnsi="宋体" w:eastAsia="宋体" w:cs="宋体"/>
                <w:color w:val="auto"/>
                <w:sz w:val="24"/>
                <w:szCs w:val="24"/>
                <w:highlight w:val="none"/>
              </w:rPr>
              <w:t>列入失信被执行人、重大税收违法失信主体、政府采购严重违法失信行为记录名单，【信用信息查询渠道：“信用中国”网站（www.creditchina.gov.cn）和“中国政府采购网”（www.ccgp.gov.cn）】</w:t>
            </w:r>
            <w:r>
              <w:rPr>
                <w:rFonts w:hint="eastAsia" w:ascii="宋体" w:hAnsi="宋体" w:eastAsia="宋体" w:cs="宋体"/>
                <w:color w:val="auto"/>
                <w:sz w:val="24"/>
                <w:szCs w:val="24"/>
                <w:highlight w:val="none"/>
                <w:lang w:eastAsia="zh-CN"/>
              </w:rPr>
              <w:t>。</w:t>
            </w:r>
            <w:r>
              <w:rPr>
                <w:rStyle w:val="97"/>
                <w:rFonts w:hint="eastAsia"/>
                <w:color w:val="auto"/>
                <w:kern w:val="0"/>
                <w:sz w:val="24"/>
                <w:szCs w:val="24"/>
                <w:highlight w:val="none"/>
              </w:rPr>
              <w:t>（查询时间为竞争性磋商公告之后）。采购人或采购代理机构保有对</w:t>
            </w:r>
            <w:r>
              <w:rPr>
                <w:rStyle w:val="97"/>
                <w:rFonts w:hint="eastAsia"/>
                <w:color w:val="auto"/>
                <w:kern w:val="0"/>
                <w:sz w:val="24"/>
                <w:szCs w:val="24"/>
                <w:highlight w:val="none"/>
                <w:lang w:val="en-US" w:eastAsia="zh-CN"/>
              </w:rPr>
              <w:t>供应商</w:t>
            </w:r>
            <w:r>
              <w:rPr>
                <w:rStyle w:val="97"/>
                <w:rFonts w:hint="eastAsia"/>
                <w:color w:val="auto"/>
                <w:kern w:val="0"/>
                <w:sz w:val="24"/>
                <w:szCs w:val="24"/>
                <w:highlight w:val="none"/>
              </w:rPr>
              <w:t>提供的查询结果进行复查的权力，并将复查结果网页打印并存档。如果采购人或采购代理机构对查询结果进行复查，供应商不良信用记录以采购人或采购代理机构查询结果为准，采购人或采购代理机构查询之后，网站信息发生的任何变更均不再作为评审依据，供应商自行提供的与网站信息不一致的其他证明材料将不作为评审依据。</w:t>
            </w:r>
          </w:p>
        </w:tc>
      </w:tr>
      <w:tr w14:paraId="15445E3B">
        <w:tblPrEx>
          <w:tblCellMar>
            <w:top w:w="0" w:type="dxa"/>
            <w:left w:w="0" w:type="dxa"/>
            <w:bottom w:w="0" w:type="dxa"/>
            <w:right w:w="0" w:type="dxa"/>
          </w:tblCellMar>
        </w:tblPrEx>
        <w:trPr>
          <w:trHeight w:val="23" w:hRule="atLeast"/>
          <w:jc w:val="center"/>
        </w:trPr>
        <w:tc>
          <w:tcPr>
            <w:tcW w:w="862" w:type="dxa"/>
            <w:vMerge w:val="continue"/>
            <w:tcBorders>
              <w:left w:val="single" w:color="000000" w:sz="4" w:space="0"/>
              <w:right w:val="single" w:color="000000" w:sz="4" w:space="0"/>
            </w:tcBorders>
            <w:vAlign w:val="center"/>
          </w:tcPr>
          <w:p w14:paraId="7C02B0C7">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2D17EF01">
            <w:pPr>
              <w:pageBreakBefore w:val="0"/>
              <w:kinsoku/>
              <w:wordWrap/>
              <w:overflowPunct/>
              <w:autoSpaceDE/>
              <w:autoSpaceDN/>
              <w:bidi w:val="0"/>
              <w:spacing w:after="0" w:line="560" w:lineRule="exact"/>
              <w:jc w:val="center"/>
              <w:textAlignment w:val="auto"/>
              <w:rPr>
                <w:rStyle w:val="97"/>
                <w:rFonts w:hint="default" w:eastAsia="宋体"/>
                <w:color w:val="auto"/>
                <w:kern w:val="0"/>
                <w:sz w:val="24"/>
                <w:szCs w:val="24"/>
                <w:highlight w:val="none"/>
                <w:lang w:val="en-US" w:eastAsia="zh-CN"/>
              </w:rPr>
            </w:pPr>
            <w:r>
              <w:rPr>
                <w:rStyle w:val="97"/>
                <w:rFonts w:hint="eastAsia"/>
                <w:color w:val="auto"/>
                <w:kern w:val="0"/>
                <w:sz w:val="24"/>
                <w:szCs w:val="24"/>
                <w:highlight w:val="none"/>
                <w:lang w:val="en-US" w:eastAsia="zh-CN"/>
              </w:rPr>
              <w:t>其他要求</w:t>
            </w:r>
          </w:p>
        </w:tc>
        <w:tc>
          <w:tcPr>
            <w:tcW w:w="6032" w:type="dxa"/>
            <w:tcBorders>
              <w:top w:val="single" w:color="000000" w:sz="4" w:space="0"/>
              <w:left w:val="single" w:color="000000" w:sz="4" w:space="0"/>
              <w:bottom w:val="single" w:color="000000" w:sz="4" w:space="0"/>
              <w:right w:val="single" w:color="000000" w:sz="4" w:space="0"/>
            </w:tcBorders>
            <w:vAlign w:val="center"/>
          </w:tcPr>
          <w:p w14:paraId="1F4A3244">
            <w:pPr>
              <w:pageBreakBefore w:val="0"/>
              <w:kinsoku/>
              <w:wordWrap/>
              <w:overflowPunct/>
              <w:autoSpaceDE/>
              <w:autoSpaceDN/>
              <w:bidi w:val="0"/>
              <w:spacing w:after="0" w:line="560" w:lineRule="exact"/>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竞争性磋商文件及法律法规规定的其他条件</w:t>
            </w:r>
          </w:p>
        </w:tc>
      </w:tr>
      <w:tr w14:paraId="1C44557B">
        <w:tblPrEx>
          <w:tblCellMar>
            <w:top w:w="0" w:type="dxa"/>
            <w:left w:w="0" w:type="dxa"/>
            <w:bottom w:w="0" w:type="dxa"/>
            <w:right w:w="0" w:type="dxa"/>
          </w:tblCellMar>
        </w:tblPrEx>
        <w:trPr>
          <w:trHeight w:val="23" w:hRule="atLeast"/>
          <w:jc w:val="center"/>
        </w:trPr>
        <w:tc>
          <w:tcPr>
            <w:tcW w:w="862" w:type="dxa"/>
            <w:vMerge w:val="restart"/>
            <w:tcBorders>
              <w:top w:val="single" w:color="000000" w:sz="4" w:space="0"/>
              <w:left w:val="single" w:color="000000" w:sz="4" w:space="0"/>
              <w:bottom w:val="single" w:color="000000" w:sz="4" w:space="0"/>
              <w:right w:val="single" w:color="000000" w:sz="4" w:space="0"/>
            </w:tcBorders>
            <w:vAlign w:val="center"/>
          </w:tcPr>
          <w:p w14:paraId="0981599D">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实质性响应评审标准</w:t>
            </w:r>
          </w:p>
        </w:tc>
        <w:tc>
          <w:tcPr>
            <w:tcW w:w="1989" w:type="dxa"/>
            <w:tcBorders>
              <w:top w:val="single" w:color="000000" w:sz="4" w:space="0"/>
              <w:left w:val="single" w:color="000000" w:sz="4" w:space="0"/>
              <w:bottom w:val="single" w:color="000000" w:sz="4" w:space="0"/>
              <w:right w:val="single" w:color="000000" w:sz="4" w:space="0"/>
            </w:tcBorders>
            <w:vAlign w:val="center"/>
          </w:tcPr>
          <w:p w14:paraId="3E8B4643">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磋商报价</w:t>
            </w:r>
          </w:p>
        </w:tc>
        <w:tc>
          <w:tcPr>
            <w:tcW w:w="6032" w:type="dxa"/>
            <w:tcBorders>
              <w:top w:val="single" w:color="000000" w:sz="4" w:space="0"/>
              <w:left w:val="single" w:color="000000" w:sz="4" w:space="0"/>
              <w:bottom w:val="single" w:color="000000" w:sz="4" w:space="0"/>
              <w:right w:val="single" w:color="000000" w:sz="4" w:space="0"/>
            </w:tcBorders>
            <w:vAlign w:val="center"/>
          </w:tcPr>
          <w:p w14:paraId="58C14875">
            <w:pPr>
              <w:pageBreakBefore w:val="0"/>
              <w:kinsoku/>
              <w:wordWrap/>
              <w:overflowPunct/>
              <w:autoSpaceDE/>
              <w:autoSpaceDN/>
              <w:bidi w:val="0"/>
              <w:spacing w:after="0" w:line="560" w:lineRule="exact"/>
              <w:jc w:val="left"/>
              <w:textAlignment w:val="auto"/>
              <w:rPr>
                <w:rStyle w:val="97"/>
                <w:rFonts w:hint="default" w:eastAsia="宋体"/>
                <w:color w:val="auto"/>
                <w:sz w:val="24"/>
                <w:szCs w:val="24"/>
                <w:highlight w:val="none"/>
                <w:lang w:val="en-US" w:eastAsia="zh-CN"/>
              </w:rPr>
            </w:pPr>
            <w:r>
              <w:rPr>
                <w:rStyle w:val="97"/>
                <w:rFonts w:hint="eastAsia"/>
                <w:color w:val="auto"/>
                <w:kern w:val="0"/>
                <w:sz w:val="24"/>
                <w:szCs w:val="24"/>
                <w:highlight w:val="none"/>
              </w:rPr>
              <w:t>不超过</w:t>
            </w:r>
            <w:r>
              <w:rPr>
                <w:rStyle w:val="97"/>
                <w:rFonts w:hint="eastAsia"/>
                <w:color w:val="auto"/>
                <w:kern w:val="0"/>
                <w:sz w:val="24"/>
                <w:szCs w:val="24"/>
                <w:highlight w:val="none"/>
                <w:lang w:val="en-US" w:eastAsia="zh-CN"/>
              </w:rPr>
              <w:t>最高限价</w:t>
            </w:r>
          </w:p>
        </w:tc>
      </w:tr>
      <w:tr w14:paraId="68995006">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1D47AE31">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0FEEC071">
            <w:pPr>
              <w:pageBreakBefore w:val="0"/>
              <w:kinsoku/>
              <w:wordWrap/>
              <w:overflowPunct/>
              <w:autoSpaceDE/>
              <w:autoSpaceDN/>
              <w:bidi w:val="0"/>
              <w:spacing w:after="0" w:line="560" w:lineRule="exact"/>
              <w:jc w:val="center"/>
              <w:textAlignment w:val="auto"/>
              <w:rPr>
                <w:rStyle w:val="97"/>
                <w:rFonts w:hint="default" w:eastAsia="宋体"/>
                <w:color w:val="auto"/>
                <w:kern w:val="0"/>
                <w:sz w:val="24"/>
                <w:szCs w:val="24"/>
                <w:highlight w:val="none"/>
                <w:lang w:val="en-US" w:eastAsia="zh-CN"/>
              </w:rPr>
            </w:pPr>
            <w:r>
              <w:rPr>
                <w:rStyle w:val="97"/>
                <w:rFonts w:hint="eastAsia"/>
                <w:color w:val="auto"/>
                <w:kern w:val="0"/>
                <w:sz w:val="24"/>
                <w:szCs w:val="24"/>
                <w:highlight w:val="none"/>
                <w:lang w:val="en-US" w:eastAsia="zh-CN"/>
              </w:rPr>
              <w:t>服务期限</w:t>
            </w:r>
          </w:p>
        </w:tc>
        <w:tc>
          <w:tcPr>
            <w:tcW w:w="6032" w:type="dxa"/>
            <w:tcBorders>
              <w:top w:val="single" w:color="000000" w:sz="4" w:space="0"/>
              <w:left w:val="single" w:color="000000" w:sz="4" w:space="0"/>
              <w:bottom w:val="single" w:color="000000" w:sz="4" w:space="0"/>
              <w:right w:val="single" w:color="000000" w:sz="4" w:space="0"/>
            </w:tcBorders>
            <w:vAlign w:val="center"/>
          </w:tcPr>
          <w:p w14:paraId="7E126987">
            <w:pPr>
              <w:pageBreakBefore w:val="0"/>
              <w:kinsoku/>
              <w:wordWrap/>
              <w:overflowPunct/>
              <w:autoSpaceDE/>
              <w:autoSpaceDN/>
              <w:bidi w:val="0"/>
              <w:spacing w:after="0" w:line="560" w:lineRule="exact"/>
              <w:jc w:val="left"/>
              <w:textAlignment w:val="auto"/>
              <w:rPr>
                <w:rStyle w:val="97"/>
                <w:color w:val="auto"/>
                <w:sz w:val="24"/>
                <w:szCs w:val="24"/>
                <w:highlight w:val="none"/>
              </w:rPr>
            </w:pPr>
            <w:r>
              <w:rPr>
                <w:rStyle w:val="97"/>
                <w:rFonts w:hint="eastAsia"/>
                <w:color w:val="auto"/>
                <w:kern w:val="0"/>
                <w:sz w:val="24"/>
                <w:szCs w:val="24"/>
                <w:highlight w:val="none"/>
              </w:rPr>
              <w:t>符合竞争性磋商文件的规定</w:t>
            </w:r>
          </w:p>
        </w:tc>
      </w:tr>
      <w:tr w14:paraId="6920D3C3">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340A6C1B">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6FDC7EF">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lang w:val="en-US" w:eastAsia="zh-CN"/>
              </w:rPr>
              <w:t>磋商</w:t>
            </w:r>
            <w:r>
              <w:rPr>
                <w:rStyle w:val="97"/>
                <w:rFonts w:hint="eastAsia"/>
                <w:color w:val="auto"/>
                <w:kern w:val="0"/>
                <w:sz w:val="24"/>
                <w:szCs w:val="24"/>
                <w:highlight w:val="none"/>
              </w:rPr>
              <w:t>有效期</w:t>
            </w:r>
          </w:p>
        </w:tc>
        <w:tc>
          <w:tcPr>
            <w:tcW w:w="6032" w:type="dxa"/>
            <w:tcBorders>
              <w:top w:val="single" w:color="000000" w:sz="4" w:space="0"/>
              <w:left w:val="single" w:color="000000" w:sz="4" w:space="0"/>
              <w:bottom w:val="single" w:color="000000" w:sz="4" w:space="0"/>
              <w:right w:val="single" w:color="000000" w:sz="4" w:space="0"/>
            </w:tcBorders>
            <w:vAlign w:val="center"/>
          </w:tcPr>
          <w:p w14:paraId="3FCB3C7D">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符合竞争性磋商文件的规定</w:t>
            </w:r>
          </w:p>
        </w:tc>
      </w:tr>
      <w:tr w14:paraId="37B31D2E">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086ACEEE">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536DD276">
            <w:pPr>
              <w:pageBreakBefore w:val="0"/>
              <w:kinsoku/>
              <w:wordWrap/>
              <w:overflowPunct/>
              <w:autoSpaceDE/>
              <w:autoSpaceDN/>
              <w:bidi w:val="0"/>
              <w:spacing w:after="0" w:line="560" w:lineRule="exact"/>
              <w:jc w:val="center"/>
              <w:textAlignment w:val="auto"/>
              <w:rPr>
                <w:rStyle w:val="97"/>
                <w:color w:val="auto"/>
                <w:kern w:val="0"/>
                <w:sz w:val="24"/>
                <w:szCs w:val="24"/>
                <w:highlight w:val="none"/>
              </w:rPr>
            </w:pPr>
            <w:r>
              <w:rPr>
                <w:rStyle w:val="97"/>
                <w:rFonts w:hint="eastAsia"/>
                <w:color w:val="auto"/>
                <w:kern w:val="0"/>
                <w:sz w:val="24"/>
                <w:szCs w:val="24"/>
                <w:highlight w:val="none"/>
              </w:rPr>
              <w:t>响应内容</w:t>
            </w:r>
          </w:p>
        </w:tc>
        <w:tc>
          <w:tcPr>
            <w:tcW w:w="6032" w:type="dxa"/>
            <w:tcBorders>
              <w:top w:val="single" w:color="000000" w:sz="4" w:space="0"/>
              <w:left w:val="single" w:color="000000" w:sz="4" w:space="0"/>
              <w:bottom w:val="single" w:color="000000" w:sz="4" w:space="0"/>
              <w:right w:val="single" w:color="000000" w:sz="4" w:space="0"/>
            </w:tcBorders>
            <w:vAlign w:val="center"/>
          </w:tcPr>
          <w:p w14:paraId="0701E5E7">
            <w:pPr>
              <w:pageBreakBefore w:val="0"/>
              <w:kinsoku/>
              <w:wordWrap/>
              <w:overflowPunct/>
              <w:autoSpaceDE/>
              <w:autoSpaceDN/>
              <w:bidi w:val="0"/>
              <w:spacing w:after="0" w:line="560" w:lineRule="exact"/>
              <w:jc w:val="left"/>
              <w:textAlignment w:val="auto"/>
              <w:rPr>
                <w:rStyle w:val="97"/>
                <w:rFonts w:hint="default" w:eastAsia="宋体"/>
                <w:color w:val="auto"/>
                <w:kern w:val="0"/>
                <w:sz w:val="24"/>
                <w:szCs w:val="24"/>
                <w:highlight w:val="none"/>
                <w:lang w:val="en-US" w:eastAsia="zh-CN"/>
              </w:rPr>
            </w:pPr>
            <w:r>
              <w:rPr>
                <w:rStyle w:val="97"/>
                <w:rFonts w:hint="eastAsia"/>
                <w:color w:val="auto"/>
                <w:kern w:val="0"/>
                <w:sz w:val="24"/>
                <w:szCs w:val="24"/>
                <w:highlight w:val="none"/>
                <w:lang w:val="en-US" w:eastAsia="zh-CN"/>
              </w:rPr>
              <w:t>符合竞争性磋商文件的规定</w:t>
            </w:r>
          </w:p>
        </w:tc>
      </w:tr>
      <w:tr w14:paraId="73E1D735">
        <w:tblPrEx>
          <w:tblCellMar>
            <w:top w:w="0" w:type="dxa"/>
            <w:left w:w="0" w:type="dxa"/>
            <w:bottom w:w="0" w:type="dxa"/>
            <w:right w:w="0" w:type="dxa"/>
          </w:tblCellMar>
        </w:tblPrEx>
        <w:trPr>
          <w:trHeight w:val="23"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4087B905">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D87CF75">
            <w:pPr>
              <w:pageBreakBefore w:val="0"/>
              <w:kinsoku/>
              <w:wordWrap/>
              <w:overflowPunct/>
              <w:autoSpaceDE/>
              <w:autoSpaceDN/>
              <w:bidi w:val="0"/>
              <w:spacing w:after="0" w:line="560" w:lineRule="exact"/>
              <w:jc w:val="center"/>
              <w:textAlignment w:val="auto"/>
              <w:rPr>
                <w:rStyle w:val="97"/>
                <w:rFonts w:hint="default" w:eastAsia="宋体"/>
                <w:color w:val="auto"/>
                <w:kern w:val="0"/>
                <w:sz w:val="24"/>
                <w:szCs w:val="24"/>
                <w:highlight w:val="none"/>
                <w:lang w:val="en-US" w:eastAsia="zh-CN"/>
              </w:rPr>
            </w:pPr>
            <w:r>
              <w:rPr>
                <w:rStyle w:val="97"/>
                <w:rFonts w:hint="eastAsia"/>
                <w:color w:val="auto"/>
                <w:kern w:val="0"/>
                <w:sz w:val="24"/>
                <w:szCs w:val="24"/>
                <w:highlight w:val="none"/>
                <w:lang w:val="en-US" w:eastAsia="zh-CN"/>
              </w:rPr>
              <w:t>质量要求</w:t>
            </w:r>
          </w:p>
        </w:tc>
        <w:tc>
          <w:tcPr>
            <w:tcW w:w="6032" w:type="dxa"/>
            <w:tcBorders>
              <w:top w:val="single" w:color="000000" w:sz="4" w:space="0"/>
              <w:left w:val="single" w:color="000000" w:sz="4" w:space="0"/>
              <w:bottom w:val="single" w:color="000000" w:sz="4" w:space="0"/>
              <w:right w:val="single" w:color="000000" w:sz="4" w:space="0"/>
            </w:tcBorders>
            <w:vAlign w:val="center"/>
          </w:tcPr>
          <w:p w14:paraId="270E8EED">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bookmarkStart w:id="14" w:name="OLE_LINK8"/>
            <w:r>
              <w:rPr>
                <w:rStyle w:val="97"/>
                <w:rFonts w:hint="eastAsia"/>
                <w:color w:val="auto"/>
                <w:kern w:val="0"/>
                <w:sz w:val="24"/>
                <w:szCs w:val="24"/>
                <w:highlight w:val="none"/>
              </w:rPr>
              <w:t>符合竞争性磋商文件的规定</w:t>
            </w:r>
            <w:bookmarkEnd w:id="14"/>
          </w:p>
        </w:tc>
      </w:tr>
    </w:tbl>
    <w:p w14:paraId="2A78AF3D">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15.4</w:t>
      </w:r>
      <w:r>
        <w:rPr>
          <w:rStyle w:val="97"/>
          <w:rFonts w:hint="eastAsia"/>
          <w:color w:val="auto"/>
          <w:sz w:val="24"/>
          <w:szCs w:val="24"/>
          <w:highlight w:val="none"/>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14:paraId="23275E64">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15.5</w:t>
      </w:r>
      <w:r>
        <w:rPr>
          <w:rStyle w:val="97"/>
          <w:rFonts w:hint="eastAsia"/>
          <w:color w:val="auto"/>
          <w:sz w:val="24"/>
          <w:szCs w:val="24"/>
          <w:highlight w:val="none"/>
        </w:rPr>
        <w:t>采购人、采购代理机构不得向磋商小组中的评审专家作倾向性、误导性的解释或者说明。</w:t>
      </w:r>
    </w:p>
    <w:p w14:paraId="20CE59A0">
      <w:pPr>
        <w:pageBreakBefore w:val="0"/>
        <w:tabs>
          <w:tab w:val="left" w:pos="641"/>
        </w:tabs>
        <w:kinsoku/>
        <w:wordWrap/>
        <w:overflowPunct/>
        <w:autoSpaceDE/>
        <w:autoSpaceDN/>
        <w:bidi w:val="0"/>
        <w:spacing w:after="0" w:line="560" w:lineRule="exact"/>
        <w:ind w:firstLine="480" w:firstLineChars="200"/>
        <w:rPr>
          <w:rStyle w:val="97"/>
          <w:rFonts w:cs="宋体"/>
          <w:color w:val="auto"/>
          <w:sz w:val="24"/>
          <w:szCs w:val="24"/>
          <w:highlight w:val="none"/>
        </w:rPr>
      </w:pPr>
      <w:r>
        <w:rPr>
          <w:rStyle w:val="97"/>
          <w:rFonts w:hint="eastAsia" w:cs="宋体"/>
          <w:color w:val="auto"/>
          <w:sz w:val="24"/>
          <w:szCs w:val="24"/>
          <w:highlight w:val="none"/>
        </w:rPr>
        <w:t>15.6本项目落实节能环保、中小型企业扶持等相关政府采购政策</w:t>
      </w:r>
    </w:p>
    <w:p w14:paraId="7FDB6E93">
      <w:pPr>
        <w:pageBreakBefore w:val="0"/>
        <w:tabs>
          <w:tab w:val="left" w:pos="641"/>
        </w:tabs>
        <w:kinsoku/>
        <w:wordWrap/>
        <w:overflowPunct/>
        <w:autoSpaceDE/>
        <w:autoSpaceDN/>
        <w:bidi w:val="0"/>
        <w:spacing w:after="0" w:line="560" w:lineRule="exact"/>
        <w:ind w:firstLine="480" w:firstLineChars="200"/>
        <w:rPr>
          <w:rStyle w:val="97"/>
          <w:rFonts w:cs="宋体"/>
          <w:color w:val="auto"/>
          <w:sz w:val="24"/>
          <w:szCs w:val="24"/>
          <w:highlight w:val="none"/>
        </w:rPr>
      </w:pPr>
      <w:r>
        <w:rPr>
          <w:rStyle w:val="97"/>
          <w:rFonts w:hint="eastAsia" w:cs="宋体"/>
          <w:color w:val="auto"/>
          <w:sz w:val="24"/>
          <w:szCs w:val="24"/>
          <w:highlight w:val="none"/>
        </w:rPr>
        <w:t>对于非专门面向中小企业的项目，对小型和微型企业产品的价格给予10%的扣除，用扣除后的价格参与评审，评标价不作为成交价和合同签约价，成交价和合同签约价仍以其投标文件中的报价为准。监狱企业视同小型、微型企业，中小微企业产品和监狱企业产品只给予一次价格扣除，不重复给予价格扣除。</w:t>
      </w:r>
    </w:p>
    <w:p w14:paraId="3776492E">
      <w:pPr>
        <w:pageBreakBefore w:val="0"/>
        <w:tabs>
          <w:tab w:val="left" w:pos="641"/>
        </w:tabs>
        <w:kinsoku/>
        <w:wordWrap/>
        <w:overflowPunct/>
        <w:autoSpaceDE/>
        <w:autoSpaceDN/>
        <w:bidi w:val="0"/>
        <w:spacing w:after="0" w:line="560" w:lineRule="exact"/>
        <w:rPr>
          <w:rStyle w:val="97"/>
          <w:color w:val="auto"/>
          <w:sz w:val="24"/>
          <w:szCs w:val="24"/>
          <w:highlight w:val="none"/>
        </w:rPr>
      </w:pPr>
      <w:r>
        <w:rPr>
          <w:rStyle w:val="97"/>
          <w:rFonts w:cs="宋体"/>
          <w:b/>
          <w:bCs/>
          <w:color w:val="auto"/>
          <w:sz w:val="24"/>
          <w:szCs w:val="24"/>
          <w:highlight w:val="none"/>
        </w:rPr>
        <w:t>16.</w:t>
      </w:r>
      <w:r>
        <w:rPr>
          <w:rStyle w:val="97"/>
          <w:rFonts w:hint="eastAsia" w:cs="宋体"/>
          <w:b/>
          <w:bCs/>
          <w:color w:val="auto"/>
          <w:sz w:val="24"/>
          <w:szCs w:val="24"/>
          <w:highlight w:val="none"/>
        </w:rPr>
        <w:t>评审程序</w:t>
      </w:r>
    </w:p>
    <w:p w14:paraId="24C68985">
      <w:pPr>
        <w:pageBreakBefore w:val="0"/>
        <w:kinsoku/>
        <w:wordWrap/>
        <w:overflowPunct/>
        <w:autoSpaceDE/>
        <w:autoSpaceDN/>
        <w:bidi w:val="0"/>
        <w:spacing w:after="0" w:line="560" w:lineRule="exact"/>
        <w:rPr>
          <w:rStyle w:val="97"/>
          <w:color w:val="auto"/>
          <w:sz w:val="24"/>
          <w:szCs w:val="24"/>
          <w:highlight w:val="none"/>
        </w:rPr>
      </w:pPr>
      <w:r>
        <w:rPr>
          <w:rStyle w:val="97"/>
          <w:color w:val="auto"/>
          <w:sz w:val="24"/>
          <w:szCs w:val="24"/>
          <w:highlight w:val="none"/>
        </w:rPr>
        <w:t xml:space="preserve"> 16.1</w:t>
      </w:r>
      <w:r>
        <w:rPr>
          <w:rStyle w:val="97"/>
          <w:rFonts w:hint="eastAsia"/>
          <w:color w:val="auto"/>
          <w:sz w:val="24"/>
          <w:szCs w:val="24"/>
          <w:highlight w:val="none"/>
        </w:rPr>
        <w:t>竞争性磋商的各项审查</w:t>
      </w:r>
    </w:p>
    <w:p w14:paraId="3F672872">
      <w:pPr>
        <w:pageBreakBefore w:val="0"/>
        <w:kinsoku/>
        <w:wordWrap/>
        <w:overflowPunct/>
        <w:autoSpaceDE/>
        <w:autoSpaceDN/>
        <w:bidi w:val="0"/>
        <w:spacing w:after="0" w:line="560" w:lineRule="exact"/>
        <w:ind w:firstLine="352" w:firstLineChars="147"/>
        <w:rPr>
          <w:rStyle w:val="97"/>
          <w:color w:val="auto"/>
          <w:sz w:val="24"/>
          <w:szCs w:val="24"/>
          <w:highlight w:val="none"/>
        </w:rPr>
      </w:pPr>
      <w:r>
        <w:rPr>
          <w:rStyle w:val="97"/>
          <w:rFonts w:hint="eastAsia"/>
          <w:color w:val="auto"/>
          <w:sz w:val="24"/>
          <w:szCs w:val="24"/>
          <w:highlight w:val="none"/>
        </w:rPr>
        <w:t>由竞争性磋商小组对供应商进行资格审查、符合审查、实质性响应审查，没有通过以上审查的供应商其竞争性磋商将不被接受或其响应文件按无效处理。</w:t>
      </w:r>
    </w:p>
    <w:p w14:paraId="63F2B3D7">
      <w:pPr>
        <w:pageBreakBefore w:val="0"/>
        <w:kinsoku/>
        <w:wordWrap/>
        <w:overflowPunct/>
        <w:autoSpaceDE/>
        <w:autoSpaceDN/>
        <w:bidi w:val="0"/>
        <w:spacing w:after="0" w:line="560" w:lineRule="exact"/>
        <w:ind w:firstLine="240" w:firstLineChars="100"/>
        <w:rPr>
          <w:rStyle w:val="97"/>
          <w:color w:val="auto"/>
          <w:sz w:val="24"/>
          <w:szCs w:val="24"/>
          <w:highlight w:val="none"/>
        </w:rPr>
      </w:pPr>
      <w:r>
        <w:rPr>
          <w:rStyle w:val="97"/>
          <w:color w:val="auto"/>
          <w:sz w:val="24"/>
          <w:szCs w:val="24"/>
          <w:highlight w:val="none"/>
        </w:rPr>
        <w:t xml:space="preserve">16.2 </w:t>
      </w:r>
      <w:r>
        <w:rPr>
          <w:rStyle w:val="97"/>
          <w:rFonts w:hint="eastAsia"/>
          <w:color w:val="auto"/>
          <w:sz w:val="24"/>
          <w:szCs w:val="24"/>
          <w:highlight w:val="none"/>
        </w:rPr>
        <w:t>审查的具体内容如下：</w:t>
      </w:r>
    </w:p>
    <w:p w14:paraId="4F985641">
      <w:pPr>
        <w:pageBreakBefore w:val="0"/>
        <w:kinsoku/>
        <w:wordWrap/>
        <w:overflowPunct/>
        <w:autoSpaceDE/>
        <w:autoSpaceDN/>
        <w:bidi w:val="0"/>
        <w:spacing w:before="120" w:beforeLines="50" w:after="0" w:line="560" w:lineRule="exact"/>
        <w:ind w:firstLine="470" w:firstLineChars="196"/>
        <w:rPr>
          <w:rStyle w:val="97"/>
          <w:color w:val="auto"/>
          <w:sz w:val="24"/>
          <w:szCs w:val="24"/>
          <w:highlight w:val="none"/>
        </w:rPr>
      </w:pPr>
      <w:r>
        <w:rPr>
          <w:rStyle w:val="97"/>
          <w:color w:val="auto"/>
          <w:sz w:val="24"/>
          <w:szCs w:val="24"/>
          <w:highlight w:val="none"/>
        </w:rPr>
        <w:t>16.3</w:t>
      </w:r>
      <w:r>
        <w:rPr>
          <w:rStyle w:val="97"/>
          <w:rFonts w:hint="eastAsia"/>
          <w:color w:val="auto"/>
          <w:sz w:val="24"/>
          <w:szCs w:val="24"/>
          <w:highlight w:val="none"/>
        </w:rPr>
        <w:t>竞争性磋商小组将确定每一供应商是否对响应文件的要求作出了实质性的响应，而没有重大偏离。实质性响应的竞争性磋商是指符合竞争性磋商采购文件要求的所有条款、条件和规定且没有重大偏离和保留。重大偏离和保留是指影响到竞争性磋商采购文件规定的范围、质量和性能，或限制了供应商的权利和供应商的义务的规定，而纠正这些偏离将影响到其它提交实质性响应竞争性磋商的供应商的公平竞争地位。</w:t>
      </w:r>
    </w:p>
    <w:p w14:paraId="743592F2">
      <w:pPr>
        <w:pageBreakBefore w:val="0"/>
        <w:kinsoku/>
        <w:wordWrap/>
        <w:overflowPunct/>
        <w:autoSpaceDE/>
        <w:autoSpaceDN/>
        <w:bidi w:val="0"/>
        <w:spacing w:after="0" w:line="560" w:lineRule="exact"/>
        <w:ind w:firstLine="588" w:firstLineChars="245"/>
        <w:rPr>
          <w:rStyle w:val="97"/>
          <w:color w:val="auto"/>
          <w:sz w:val="24"/>
          <w:szCs w:val="24"/>
          <w:highlight w:val="none"/>
        </w:rPr>
      </w:pPr>
      <w:r>
        <w:rPr>
          <w:rStyle w:val="97"/>
          <w:color w:val="auto"/>
          <w:sz w:val="24"/>
          <w:szCs w:val="24"/>
          <w:highlight w:val="none"/>
        </w:rPr>
        <w:t>16.4</w:t>
      </w:r>
      <w:r>
        <w:rPr>
          <w:rStyle w:val="97"/>
          <w:rFonts w:hint="eastAsia"/>
          <w:color w:val="auto"/>
          <w:sz w:val="24"/>
          <w:szCs w:val="24"/>
          <w:highlight w:val="none"/>
        </w:rPr>
        <w:t>竞争性磋商小组判断响应文件的响应性仅基于响应文件本身内容而不靠外部证据。</w:t>
      </w:r>
    </w:p>
    <w:p w14:paraId="4EFC9270">
      <w:pPr>
        <w:pageBreakBefore w:val="0"/>
        <w:kinsoku/>
        <w:wordWrap/>
        <w:overflowPunct/>
        <w:autoSpaceDE/>
        <w:autoSpaceDN/>
        <w:bidi w:val="0"/>
        <w:spacing w:after="0" w:line="560" w:lineRule="exact"/>
        <w:ind w:firstLine="470" w:firstLineChars="196"/>
        <w:rPr>
          <w:rStyle w:val="97"/>
          <w:color w:val="auto"/>
          <w:sz w:val="24"/>
          <w:szCs w:val="24"/>
          <w:highlight w:val="none"/>
        </w:rPr>
      </w:pPr>
      <w:r>
        <w:rPr>
          <w:rStyle w:val="97"/>
          <w:color w:val="auto"/>
          <w:sz w:val="24"/>
          <w:szCs w:val="24"/>
          <w:highlight w:val="none"/>
        </w:rPr>
        <w:t>16.5</w:t>
      </w:r>
      <w:r>
        <w:rPr>
          <w:rStyle w:val="97"/>
          <w:rFonts w:hint="eastAsia"/>
          <w:color w:val="auto"/>
          <w:sz w:val="24"/>
          <w:szCs w:val="24"/>
          <w:highlight w:val="none"/>
        </w:rPr>
        <w:t>竞争性磋商小组判断将拒绝被确定为非实质性响应的竞争性磋商，供应商不能通过修正或撤消不符之处而使其竞争性磋商成为实质性响应的竞争性磋商。</w:t>
      </w:r>
    </w:p>
    <w:p w14:paraId="1267735A">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16.6</w:t>
      </w:r>
      <w:r>
        <w:rPr>
          <w:rStyle w:val="97"/>
          <w:rFonts w:hint="eastAsia"/>
          <w:color w:val="auto"/>
          <w:sz w:val="24"/>
          <w:szCs w:val="24"/>
          <w:highlight w:val="none"/>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14:paraId="4E5E71A6">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1</w:t>
      </w:r>
      <w:r>
        <w:rPr>
          <w:rStyle w:val="97"/>
          <w:rFonts w:hint="eastAsia"/>
          <w:color w:val="auto"/>
          <w:sz w:val="24"/>
          <w:szCs w:val="24"/>
          <w:highlight w:val="none"/>
        </w:rPr>
        <w:t>）响应文件未按要求</w:t>
      </w:r>
      <w:r>
        <w:rPr>
          <w:rStyle w:val="97"/>
          <w:rFonts w:hint="eastAsia"/>
          <w:color w:val="auto"/>
          <w:kern w:val="0"/>
          <w:sz w:val="24"/>
          <w:szCs w:val="24"/>
          <w:highlight w:val="none"/>
        </w:rPr>
        <w:t>企业电子签章或盖章或个人电子签章或盖章或签字的</w:t>
      </w:r>
      <w:r>
        <w:rPr>
          <w:rStyle w:val="97"/>
          <w:rFonts w:hint="eastAsia"/>
          <w:color w:val="auto"/>
          <w:sz w:val="24"/>
          <w:szCs w:val="24"/>
          <w:highlight w:val="none"/>
        </w:rPr>
        <w:t>；</w:t>
      </w:r>
    </w:p>
    <w:p w14:paraId="2A13B1F0">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2</w:t>
      </w:r>
      <w:r>
        <w:rPr>
          <w:rStyle w:val="97"/>
          <w:rFonts w:hint="eastAsia"/>
          <w:color w:val="auto"/>
          <w:sz w:val="24"/>
          <w:szCs w:val="24"/>
          <w:highlight w:val="none"/>
        </w:rPr>
        <w:t>）响应文件中在同一个项目中有两个同类数字又未声明其中哪一个有效；</w:t>
      </w:r>
    </w:p>
    <w:p w14:paraId="214B12FC">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3</w:t>
      </w:r>
      <w:r>
        <w:rPr>
          <w:rStyle w:val="97"/>
          <w:rFonts w:hint="eastAsia"/>
          <w:color w:val="auto"/>
          <w:sz w:val="24"/>
          <w:szCs w:val="24"/>
          <w:highlight w:val="none"/>
        </w:rPr>
        <w:t>）响应文件超过截止时间上传的；</w:t>
      </w:r>
    </w:p>
    <w:p w14:paraId="17E5B1FE">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4</w:t>
      </w:r>
      <w:r>
        <w:rPr>
          <w:rStyle w:val="97"/>
          <w:rFonts w:hint="eastAsia"/>
          <w:color w:val="auto"/>
          <w:sz w:val="24"/>
          <w:szCs w:val="24"/>
          <w:highlight w:val="none"/>
        </w:rPr>
        <w:t>）竞争性磋商响应文件的关键内容字迹模糊，无法辨认的；</w:t>
      </w:r>
    </w:p>
    <w:p w14:paraId="094A896F">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5</w:t>
      </w:r>
      <w:r>
        <w:rPr>
          <w:rStyle w:val="97"/>
          <w:rFonts w:hint="eastAsia"/>
          <w:color w:val="auto"/>
          <w:sz w:val="24"/>
          <w:szCs w:val="24"/>
          <w:highlight w:val="none"/>
        </w:rPr>
        <w:t>）未按竞争性磋商采购文件规定交纳竞争性磋商保证金承诺函的；</w:t>
      </w:r>
    </w:p>
    <w:p w14:paraId="7A7DA74C">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6</w:t>
      </w:r>
      <w:r>
        <w:rPr>
          <w:rStyle w:val="97"/>
          <w:rFonts w:hint="eastAsia"/>
          <w:color w:val="auto"/>
          <w:sz w:val="24"/>
          <w:szCs w:val="24"/>
          <w:highlight w:val="none"/>
        </w:rPr>
        <w:t>）未按竞争性磋商采购文件规定编制各项报价的；</w:t>
      </w:r>
    </w:p>
    <w:p w14:paraId="62E638DA">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7</w:t>
      </w:r>
      <w:r>
        <w:rPr>
          <w:rStyle w:val="97"/>
          <w:rFonts w:hint="eastAsia"/>
          <w:color w:val="auto"/>
          <w:sz w:val="24"/>
          <w:szCs w:val="24"/>
          <w:highlight w:val="none"/>
        </w:rPr>
        <w:t>）竞争性磋商报价与其组成部分相互矛盾，致使竞争性磋商小组无法正常评审判定；</w:t>
      </w:r>
    </w:p>
    <w:p w14:paraId="5C98A39D">
      <w:pPr>
        <w:pStyle w:val="65"/>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ascii="宋体" w:hAnsi="宋体"/>
          <w:color w:val="auto"/>
          <w:sz w:val="24"/>
          <w:szCs w:val="24"/>
          <w:highlight w:val="none"/>
        </w:rPr>
        <w:t>（</w:t>
      </w:r>
      <w:r>
        <w:rPr>
          <w:rStyle w:val="97"/>
          <w:rFonts w:ascii="宋体" w:hAnsi="宋体"/>
          <w:color w:val="auto"/>
          <w:sz w:val="24"/>
          <w:szCs w:val="24"/>
          <w:highlight w:val="none"/>
        </w:rPr>
        <w:t>8</w:t>
      </w:r>
      <w:r>
        <w:rPr>
          <w:rStyle w:val="97"/>
          <w:rFonts w:hint="eastAsia" w:ascii="宋体" w:hAnsi="宋体"/>
          <w:color w:val="auto"/>
          <w:sz w:val="24"/>
          <w:szCs w:val="24"/>
          <w:highlight w:val="none"/>
        </w:rPr>
        <w:t>）与其他</w:t>
      </w:r>
      <w:r>
        <w:rPr>
          <w:rStyle w:val="97"/>
          <w:rFonts w:hint="eastAsia" w:ascii="宋体" w:hAnsi="宋体"/>
          <w:color w:val="auto"/>
          <w:sz w:val="24"/>
          <w:szCs w:val="24"/>
          <w:highlight w:val="none"/>
          <w:lang w:val="en-US" w:eastAsia="zh-CN"/>
        </w:rPr>
        <w:t>供应商</w:t>
      </w:r>
      <w:r>
        <w:rPr>
          <w:rStyle w:val="97"/>
          <w:rFonts w:hint="eastAsia" w:ascii="宋体" w:hAnsi="宋体"/>
          <w:color w:val="auto"/>
          <w:sz w:val="24"/>
          <w:szCs w:val="24"/>
          <w:highlight w:val="none"/>
        </w:rPr>
        <w:t>的响应文件制作机器码一致；</w:t>
      </w:r>
    </w:p>
    <w:p w14:paraId="796BBABE">
      <w:pPr>
        <w:pageBreakBefore w:val="0"/>
        <w:kinsoku/>
        <w:wordWrap/>
        <w:overflowPunct/>
        <w:autoSpaceDE/>
        <w:autoSpaceDN/>
        <w:bidi w:val="0"/>
        <w:spacing w:after="0" w:line="560" w:lineRule="exact"/>
        <w:ind w:firstLine="480"/>
        <w:rPr>
          <w:rStyle w:val="97"/>
          <w:color w:val="auto"/>
          <w:sz w:val="24"/>
          <w:szCs w:val="24"/>
          <w:highlight w:val="none"/>
        </w:rPr>
      </w:pPr>
      <w:r>
        <w:rPr>
          <w:rStyle w:val="97"/>
          <w:rFonts w:hint="eastAsia"/>
          <w:color w:val="auto"/>
          <w:sz w:val="24"/>
          <w:szCs w:val="24"/>
          <w:highlight w:val="none"/>
        </w:rPr>
        <w:t>（</w:t>
      </w:r>
      <w:r>
        <w:rPr>
          <w:rStyle w:val="97"/>
          <w:color w:val="auto"/>
          <w:sz w:val="24"/>
          <w:szCs w:val="24"/>
          <w:highlight w:val="none"/>
        </w:rPr>
        <w:t>9</w:t>
      </w:r>
      <w:r>
        <w:rPr>
          <w:rStyle w:val="97"/>
          <w:rFonts w:hint="eastAsia"/>
          <w:color w:val="auto"/>
          <w:sz w:val="24"/>
          <w:szCs w:val="24"/>
          <w:highlight w:val="none"/>
        </w:rPr>
        <w:t>）未按要求提供资格证明文件及有关法律、法规规章规定的其他情况。</w:t>
      </w:r>
    </w:p>
    <w:p w14:paraId="0298150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16.7</w:t>
      </w:r>
      <w:r>
        <w:rPr>
          <w:rStyle w:val="97"/>
          <w:rFonts w:hint="eastAsia"/>
          <w:color w:val="auto"/>
          <w:sz w:val="24"/>
          <w:szCs w:val="24"/>
          <w:highlight w:val="none"/>
        </w:rPr>
        <w:t>澄清有关问题</w:t>
      </w:r>
    </w:p>
    <w:p w14:paraId="05375B6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对响应文件中含义不明确、同类问题表述不一致或者有明显文字和计算错误的内容，磋商小组可以要求供应商作出必要的澄清、说明或者纠正。供应商的澄清、说明或者补正应当采用书面形式，由其授权的代表签字，并不得超出响应文件的范围或者改变响应文件的实质性内容。</w:t>
      </w:r>
    </w:p>
    <w:p w14:paraId="24D810B2">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磋商小组要求供应商澄清、说明或者更正响应文件应当以书面形式作出。供应商的澄清、说明或者更正应当由法定代表人或其授权代表签字或者加盖公章。</w:t>
      </w:r>
    </w:p>
    <w:p w14:paraId="2E33E3C5">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16.8 </w:t>
      </w:r>
      <w:r>
        <w:rPr>
          <w:rStyle w:val="97"/>
          <w:rFonts w:hint="eastAsia"/>
          <w:color w:val="auto"/>
          <w:sz w:val="24"/>
          <w:szCs w:val="24"/>
          <w:highlight w:val="none"/>
        </w:rPr>
        <w:t>算术更正</w:t>
      </w:r>
    </w:p>
    <w:p w14:paraId="20C5471D">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术错误的更正，其响应文件可能被否决。</w:t>
      </w:r>
    </w:p>
    <w:p w14:paraId="0AA30B68">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17.</w:t>
      </w:r>
      <w:r>
        <w:rPr>
          <w:rStyle w:val="97"/>
          <w:rFonts w:hint="eastAsia" w:cs="宋体"/>
          <w:b/>
          <w:bCs/>
          <w:color w:val="auto"/>
          <w:sz w:val="24"/>
          <w:szCs w:val="24"/>
          <w:highlight w:val="none"/>
        </w:rPr>
        <w:t>磋商</w:t>
      </w:r>
    </w:p>
    <w:p w14:paraId="2CDE4640">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17.1 </w:t>
      </w:r>
      <w:r>
        <w:rPr>
          <w:rStyle w:val="97"/>
          <w:rFonts w:hint="eastAsia"/>
          <w:color w:val="auto"/>
          <w:sz w:val="24"/>
          <w:szCs w:val="24"/>
          <w:highlight w:val="none"/>
        </w:rPr>
        <w:t>磋商小组将按照供应商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14:paraId="399CAEEB">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17.2 </w:t>
      </w:r>
      <w:r>
        <w:rPr>
          <w:rStyle w:val="97"/>
          <w:rFonts w:hint="eastAsia"/>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5BED14E">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17.3 </w:t>
      </w:r>
      <w:r>
        <w:rPr>
          <w:rStyle w:val="97"/>
          <w:rFonts w:hint="eastAsia"/>
          <w:color w:val="auto"/>
          <w:sz w:val="24"/>
          <w:szCs w:val="24"/>
          <w:highlight w:val="none"/>
        </w:rPr>
        <w:t>对磋商文件作出的实质性变动是磋商文件的有效组成部分，磋商小组应当及时以书面形式同时通知所有参加磋商的供应商。</w:t>
      </w:r>
    </w:p>
    <w:p w14:paraId="41D6512C">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 xml:space="preserve">17.4 </w:t>
      </w:r>
      <w:r>
        <w:rPr>
          <w:rStyle w:val="97"/>
          <w:rFonts w:hint="eastAsia"/>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w:t>
      </w:r>
    </w:p>
    <w:p w14:paraId="1EB02C99">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17.5</w:t>
      </w:r>
      <w:r>
        <w:rPr>
          <w:rStyle w:val="97"/>
          <w:rFonts w:hint="eastAsia"/>
          <w:color w:val="auto"/>
          <w:sz w:val="24"/>
          <w:szCs w:val="24"/>
          <w:highlight w:val="none"/>
        </w:rPr>
        <w:t>最终报价</w:t>
      </w:r>
    </w:p>
    <w:p w14:paraId="549FA1C3">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磋商结束后，磋商小组应当要求通过资格及符合性审查的供应商在规定时间内提交最后报价。</w:t>
      </w:r>
    </w:p>
    <w:p w14:paraId="4761A3B8">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18.</w:t>
      </w:r>
      <w:r>
        <w:rPr>
          <w:rStyle w:val="97"/>
          <w:rFonts w:hint="eastAsia" w:cs="宋体"/>
          <w:b/>
          <w:bCs/>
          <w:color w:val="auto"/>
          <w:sz w:val="24"/>
          <w:szCs w:val="24"/>
          <w:highlight w:val="none"/>
        </w:rPr>
        <w:t>比较与评价</w:t>
      </w:r>
    </w:p>
    <w:p w14:paraId="7A375421">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eastAsia"/>
          <w:color w:val="auto"/>
          <w:sz w:val="24"/>
          <w:szCs w:val="24"/>
          <w:highlight w:val="none"/>
        </w:rPr>
        <w:t>经磋商确定最终采购需求和提交最后报价的供应商后，由磋商小组采用综合评分法对提交最后报价的供应商的响应文件和最后报价进行综合评分。</w:t>
      </w:r>
    </w:p>
    <w:p w14:paraId="03C6730D">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19.</w:t>
      </w:r>
      <w:r>
        <w:rPr>
          <w:rStyle w:val="97"/>
          <w:rFonts w:hint="eastAsia" w:cs="宋体"/>
          <w:b/>
          <w:bCs/>
          <w:color w:val="auto"/>
          <w:sz w:val="24"/>
          <w:szCs w:val="24"/>
          <w:highlight w:val="none"/>
        </w:rPr>
        <w:t>推荐成交候选供应商的原则</w:t>
      </w:r>
    </w:p>
    <w:p w14:paraId="1C07984C">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19.1</w:t>
      </w:r>
      <w:r>
        <w:rPr>
          <w:rStyle w:val="97"/>
          <w:rFonts w:hint="eastAsia"/>
          <w:color w:val="auto"/>
          <w:sz w:val="24"/>
          <w:szCs w:val="24"/>
          <w:highlight w:val="none"/>
        </w:rPr>
        <w:t>磋商小组将根据综合评分情况编写评审报告，并书面授权磋商小组直接确定成交供应商。确定成交供应商按照得分排序由高到低的原则。评审得分相同的，按照最后报价由低到高的顺序推荐。评审得分且最后报价相同的，按照技术指标优劣顺序推荐。</w:t>
      </w:r>
    </w:p>
    <w:p w14:paraId="201F24D9">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t>19.2</w:t>
      </w:r>
      <w:r>
        <w:rPr>
          <w:rStyle w:val="97"/>
          <w:rFonts w:hint="eastAsia"/>
          <w:color w:val="auto"/>
          <w:sz w:val="24"/>
          <w:szCs w:val="24"/>
          <w:highlight w:val="none"/>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BBA0666">
      <w:pPr>
        <w:pageBreakBefore w:val="0"/>
        <w:tabs>
          <w:tab w:val="left" w:pos="641"/>
        </w:tabs>
        <w:kinsoku/>
        <w:wordWrap/>
        <w:overflowPunct/>
        <w:autoSpaceDE/>
        <w:autoSpaceDN/>
        <w:bidi w:val="0"/>
        <w:spacing w:after="0" w:line="560" w:lineRule="exact"/>
        <w:rPr>
          <w:rStyle w:val="97"/>
          <w:rFonts w:cs="宋体"/>
          <w:b/>
          <w:bCs/>
          <w:color w:val="auto"/>
          <w:sz w:val="24"/>
          <w:szCs w:val="24"/>
          <w:highlight w:val="none"/>
        </w:rPr>
      </w:pPr>
      <w:r>
        <w:rPr>
          <w:rStyle w:val="97"/>
          <w:rFonts w:cs="宋体"/>
          <w:b/>
          <w:bCs/>
          <w:color w:val="auto"/>
          <w:sz w:val="24"/>
          <w:szCs w:val="24"/>
          <w:highlight w:val="none"/>
        </w:rPr>
        <w:t>20.</w:t>
      </w:r>
      <w:r>
        <w:rPr>
          <w:rStyle w:val="97"/>
          <w:rFonts w:hint="eastAsia" w:cs="宋体"/>
          <w:b/>
          <w:bCs/>
          <w:color w:val="auto"/>
          <w:sz w:val="24"/>
          <w:szCs w:val="24"/>
          <w:highlight w:val="none"/>
        </w:rPr>
        <w:t>保密</w:t>
      </w:r>
    </w:p>
    <w:p w14:paraId="17D72A4F">
      <w:pPr>
        <w:pageBreakBefore w:val="0"/>
        <w:kinsoku/>
        <w:wordWrap/>
        <w:overflowPunct/>
        <w:autoSpaceDE/>
        <w:autoSpaceDN/>
        <w:bidi w:val="0"/>
        <w:spacing w:after="0" w:line="560" w:lineRule="exact"/>
        <w:ind w:firstLine="480" w:firstLineChars="200"/>
        <w:rPr>
          <w:rStyle w:val="97"/>
          <w:rFonts w:hint="eastAsia"/>
          <w:color w:val="auto"/>
          <w:sz w:val="24"/>
          <w:szCs w:val="24"/>
          <w:highlight w:val="none"/>
        </w:rPr>
      </w:pPr>
      <w:r>
        <w:rPr>
          <w:rStyle w:val="97"/>
          <w:rFonts w:hint="eastAsia"/>
          <w:color w:val="auto"/>
          <w:sz w:val="24"/>
          <w:szCs w:val="24"/>
          <w:highlight w:val="none"/>
        </w:rPr>
        <w:t>参与磋商活动的供应商应对磋商文件和响应文件中的涉及国家秘密和商业秘密进行保密，未经采购人书面同意不得扩散，否则承担相关法律责任。</w:t>
      </w:r>
    </w:p>
    <w:p w14:paraId="674EC488">
      <w:pPr>
        <w:pageBreakBefore w:val="0"/>
        <w:tabs>
          <w:tab w:val="left" w:pos="641"/>
        </w:tabs>
        <w:kinsoku/>
        <w:wordWrap/>
        <w:overflowPunct/>
        <w:autoSpaceDE/>
        <w:autoSpaceDN/>
        <w:bidi w:val="0"/>
        <w:spacing w:after="0" w:line="560" w:lineRule="exact"/>
        <w:rPr>
          <w:rStyle w:val="97"/>
          <w:rFonts w:hint="default" w:ascii="Times New Roman" w:hAnsi="Times New Roman" w:eastAsia="宋体" w:cs="宋体"/>
          <w:b/>
          <w:bCs/>
          <w:color w:val="auto"/>
          <w:sz w:val="24"/>
          <w:szCs w:val="24"/>
          <w:highlight w:val="none"/>
          <w:lang w:val="en-US" w:eastAsia="zh-CN"/>
        </w:rPr>
      </w:pPr>
      <w:r>
        <w:rPr>
          <w:rStyle w:val="97"/>
          <w:rFonts w:hint="eastAsia" w:ascii="Times New Roman" w:hAnsi="Times New Roman" w:eastAsia="宋体" w:cs="宋体"/>
          <w:b/>
          <w:bCs/>
          <w:color w:val="auto"/>
          <w:sz w:val="24"/>
          <w:szCs w:val="24"/>
          <w:highlight w:val="none"/>
          <w:lang w:val="en-US" w:eastAsia="zh-CN"/>
        </w:rPr>
        <w:t>21</w:t>
      </w:r>
      <w:r>
        <w:rPr>
          <w:rStyle w:val="97"/>
          <w:rFonts w:hint="default" w:ascii="Times New Roman" w:hAnsi="Times New Roman" w:eastAsia="宋体" w:cs="宋体"/>
          <w:b/>
          <w:bCs/>
          <w:color w:val="auto"/>
          <w:sz w:val="24"/>
          <w:szCs w:val="24"/>
          <w:highlight w:val="none"/>
          <w:lang w:val="en" w:eastAsia="zh-CN"/>
        </w:rPr>
        <w:t>.</w:t>
      </w:r>
      <w:r>
        <w:rPr>
          <w:rStyle w:val="97"/>
          <w:rFonts w:hint="default" w:ascii="Times New Roman" w:hAnsi="Times New Roman" w:eastAsia="宋体" w:cs="宋体"/>
          <w:b/>
          <w:bCs/>
          <w:color w:val="auto"/>
          <w:sz w:val="24"/>
          <w:szCs w:val="24"/>
          <w:highlight w:val="none"/>
          <w:lang w:val="en-US" w:eastAsia="zh-CN"/>
        </w:rPr>
        <w:t>确定成交供应商</w:t>
      </w:r>
    </w:p>
    <w:p w14:paraId="75859A7F">
      <w:pPr>
        <w:pageBreakBefore w:val="0"/>
        <w:kinsoku/>
        <w:wordWrap/>
        <w:overflowPunct/>
        <w:autoSpaceDE/>
        <w:autoSpaceDN/>
        <w:bidi w:val="0"/>
        <w:spacing w:after="0" w:line="560" w:lineRule="exact"/>
        <w:ind w:firstLine="480" w:firstLineChars="200"/>
        <w:rPr>
          <w:rStyle w:val="97"/>
          <w:rFonts w:hint="default" w:ascii="Times New Roman" w:hAnsi="Times New Roman" w:eastAsia="宋体" w:cs="Times New Roman"/>
          <w:color w:val="auto"/>
          <w:sz w:val="24"/>
          <w:szCs w:val="24"/>
          <w:highlight w:val="none"/>
          <w:lang w:val="en-US" w:eastAsia="zh-CN"/>
        </w:rPr>
      </w:pPr>
      <w:r>
        <w:rPr>
          <w:rStyle w:val="97"/>
          <w:rFonts w:hint="eastAsia" w:ascii="Times New Roman" w:hAnsi="Times New Roman" w:eastAsia="宋体" w:cs="Times New Roman"/>
          <w:color w:val="auto"/>
          <w:sz w:val="24"/>
          <w:szCs w:val="24"/>
          <w:highlight w:val="none"/>
          <w:lang w:val="en-US" w:eastAsia="zh-CN"/>
        </w:rPr>
        <w:t>21</w:t>
      </w:r>
      <w:r>
        <w:rPr>
          <w:rStyle w:val="97"/>
          <w:rFonts w:hint="default" w:ascii="Times New Roman" w:hAnsi="Times New Roman" w:eastAsia="宋体" w:cs="Times New Roman"/>
          <w:color w:val="auto"/>
          <w:sz w:val="24"/>
          <w:szCs w:val="24"/>
          <w:highlight w:val="none"/>
          <w:lang w:val="en" w:eastAsia="zh-CN"/>
        </w:rPr>
        <w:t>.</w:t>
      </w:r>
      <w:r>
        <w:rPr>
          <w:rStyle w:val="97"/>
          <w:rFonts w:hint="default" w:ascii="Times New Roman" w:hAnsi="Times New Roman" w:eastAsia="宋体" w:cs="Times New Roman"/>
          <w:color w:val="auto"/>
          <w:sz w:val="24"/>
          <w:szCs w:val="24"/>
          <w:highlight w:val="none"/>
          <w:lang w:val="en-US" w:eastAsia="zh-CN"/>
        </w:rPr>
        <w:t>1采购人应当自收到磋商结果报告之日起５个工作日内，从磋商结果报告提出的成交候选供应商中，根据竞争性磋商小组推荐排名顺序的成交候选供应商中，选定第一成交候选供应商为成交供应商；也可以书面授权竞争性磋商小组直接确定成交供应商。</w:t>
      </w:r>
    </w:p>
    <w:p w14:paraId="142C26CB">
      <w:pPr>
        <w:pageBreakBefore w:val="0"/>
        <w:kinsoku/>
        <w:wordWrap/>
        <w:overflowPunct/>
        <w:autoSpaceDE/>
        <w:autoSpaceDN/>
        <w:bidi w:val="0"/>
        <w:spacing w:after="0" w:line="560" w:lineRule="exact"/>
        <w:ind w:firstLine="480" w:firstLineChars="200"/>
        <w:rPr>
          <w:rStyle w:val="97"/>
          <w:rFonts w:hint="default" w:ascii="Times New Roman" w:hAnsi="Times New Roman" w:eastAsia="宋体" w:cs="Times New Roman"/>
          <w:color w:val="auto"/>
          <w:sz w:val="24"/>
          <w:szCs w:val="24"/>
          <w:highlight w:val="none"/>
          <w:lang w:val="en-US" w:eastAsia="zh-CN"/>
        </w:rPr>
      </w:pPr>
      <w:r>
        <w:rPr>
          <w:rStyle w:val="97"/>
          <w:rFonts w:hint="eastAsia" w:ascii="Times New Roman" w:hAnsi="Times New Roman" w:eastAsia="宋体" w:cs="Times New Roman"/>
          <w:color w:val="auto"/>
          <w:sz w:val="24"/>
          <w:szCs w:val="24"/>
          <w:highlight w:val="none"/>
          <w:lang w:val="en-US" w:eastAsia="zh-CN"/>
        </w:rPr>
        <w:t>21</w:t>
      </w:r>
      <w:r>
        <w:rPr>
          <w:rStyle w:val="97"/>
          <w:rFonts w:hint="default" w:ascii="Times New Roman" w:hAnsi="Times New Roman" w:eastAsia="宋体" w:cs="Times New Roman"/>
          <w:color w:val="auto"/>
          <w:sz w:val="24"/>
          <w:szCs w:val="24"/>
          <w:highlight w:val="none"/>
          <w:lang w:val="en-US" w:eastAsia="zh-CN"/>
        </w:rPr>
        <w:t>.2采购人在收到磋商结果报告5个工作日内未按磋商结果报告推荐的成交候选供应商顺序确定成交供应商，又不能说明合法理由的，视同按磋商结果报告推荐的顺序确定排名第一的成交候选供应商为成交供应商。</w:t>
      </w:r>
    </w:p>
    <w:p w14:paraId="175CDFAA">
      <w:pPr>
        <w:pageBreakBefore w:val="0"/>
        <w:tabs>
          <w:tab w:val="left" w:pos="641"/>
        </w:tabs>
        <w:kinsoku/>
        <w:wordWrap/>
        <w:overflowPunct/>
        <w:autoSpaceDE/>
        <w:autoSpaceDN/>
        <w:bidi w:val="0"/>
        <w:spacing w:after="0" w:line="560" w:lineRule="exact"/>
        <w:rPr>
          <w:rStyle w:val="97"/>
          <w:rFonts w:hint="default" w:ascii="Times New Roman" w:hAnsi="Times New Roman" w:eastAsia="宋体" w:cs="宋体"/>
          <w:b/>
          <w:bCs/>
          <w:color w:val="auto"/>
          <w:sz w:val="24"/>
          <w:szCs w:val="24"/>
          <w:highlight w:val="none"/>
          <w:lang w:val="en-US" w:eastAsia="zh-CN"/>
        </w:rPr>
      </w:pPr>
      <w:r>
        <w:rPr>
          <w:rStyle w:val="97"/>
          <w:rFonts w:hint="eastAsia" w:ascii="Times New Roman" w:hAnsi="Times New Roman" w:eastAsia="宋体" w:cs="宋体"/>
          <w:b/>
          <w:bCs/>
          <w:color w:val="auto"/>
          <w:sz w:val="24"/>
          <w:szCs w:val="24"/>
          <w:highlight w:val="none"/>
          <w:lang w:val="en-US" w:eastAsia="zh-CN"/>
        </w:rPr>
        <w:t>22.</w:t>
      </w:r>
      <w:r>
        <w:rPr>
          <w:rStyle w:val="97"/>
          <w:rFonts w:hint="default" w:ascii="Times New Roman" w:hAnsi="Times New Roman" w:eastAsia="宋体" w:cs="宋体"/>
          <w:b/>
          <w:bCs/>
          <w:color w:val="auto"/>
          <w:sz w:val="24"/>
          <w:szCs w:val="24"/>
          <w:highlight w:val="none"/>
          <w:lang w:val="en-US" w:eastAsia="zh-CN"/>
        </w:rPr>
        <w:t>发布成交结果公告及发出成交通知书</w:t>
      </w:r>
    </w:p>
    <w:p w14:paraId="017C2C5A">
      <w:pPr>
        <w:pageBreakBefore w:val="0"/>
        <w:kinsoku/>
        <w:wordWrap/>
        <w:overflowPunct/>
        <w:autoSpaceDE/>
        <w:autoSpaceDN/>
        <w:bidi w:val="0"/>
        <w:spacing w:after="0" w:line="560" w:lineRule="exact"/>
        <w:ind w:firstLine="480" w:firstLineChars="200"/>
        <w:rPr>
          <w:rStyle w:val="97"/>
          <w:rFonts w:hint="default" w:ascii="Times New Roman" w:hAnsi="Times New Roman" w:eastAsia="宋体" w:cs="Times New Roman"/>
          <w:color w:val="auto"/>
          <w:sz w:val="24"/>
          <w:szCs w:val="24"/>
          <w:highlight w:val="none"/>
          <w:lang w:val="en-US" w:eastAsia="zh-CN"/>
        </w:rPr>
      </w:pPr>
      <w:r>
        <w:rPr>
          <w:rStyle w:val="97"/>
          <w:rFonts w:hint="eastAsia" w:ascii="Times New Roman" w:hAnsi="Times New Roman" w:eastAsia="宋体" w:cs="Times New Roman"/>
          <w:color w:val="auto"/>
          <w:sz w:val="24"/>
          <w:szCs w:val="24"/>
          <w:highlight w:val="none"/>
          <w:lang w:val="en-US" w:eastAsia="zh-CN"/>
        </w:rPr>
        <w:t>22</w:t>
      </w:r>
      <w:r>
        <w:rPr>
          <w:rStyle w:val="97"/>
          <w:rFonts w:hint="default" w:ascii="Times New Roman" w:hAnsi="Times New Roman" w:eastAsia="宋体" w:cs="Times New Roman"/>
          <w:color w:val="auto"/>
          <w:sz w:val="24"/>
          <w:szCs w:val="24"/>
          <w:highlight w:val="none"/>
          <w:lang w:val="en-US" w:eastAsia="zh-CN"/>
        </w:rPr>
        <w:t>.1采购人按规定确定成交供应商后，采购人或</w:t>
      </w:r>
      <w:r>
        <w:rPr>
          <w:rStyle w:val="97"/>
          <w:rFonts w:hint="eastAsia" w:ascii="Times New Roman" w:hAnsi="Times New Roman" w:eastAsia="宋体" w:cs="Times New Roman"/>
          <w:color w:val="auto"/>
          <w:sz w:val="24"/>
          <w:szCs w:val="24"/>
          <w:highlight w:val="none"/>
          <w:lang w:val="en-US" w:eastAsia="zh-CN"/>
        </w:rPr>
        <w:t>采购代理机构</w:t>
      </w:r>
      <w:r>
        <w:rPr>
          <w:rStyle w:val="97"/>
          <w:rFonts w:hint="default" w:ascii="Times New Roman" w:hAnsi="Times New Roman" w:eastAsia="宋体" w:cs="Times New Roman"/>
          <w:color w:val="auto"/>
          <w:sz w:val="24"/>
          <w:szCs w:val="24"/>
          <w:highlight w:val="none"/>
          <w:lang w:val="en-US" w:eastAsia="zh-CN"/>
        </w:rPr>
        <w:t>应将成交结果在“供应商须知前附表”规定的媒介上予以公告，成交结果公告期限为1个工作日。</w:t>
      </w:r>
    </w:p>
    <w:p w14:paraId="721CC7F1">
      <w:pPr>
        <w:pageBreakBefore w:val="0"/>
        <w:kinsoku/>
        <w:wordWrap/>
        <w:overflowPunct/>
        <w:autoSpaceDE/>
        <w:autoSpaceDN/>
        <w:bidi w:val="0"/>
        <w:spacing w:after="0" w:line="560" w:lineRule="exact"/>
        <w:ind w:firstLine="480" w:firstLineChars="200"/>
        <w:rPr>
          <w:rStyle w:val="97"/>
          <w:rFonts w:hint="default" w:ascii="Times New Roman" w:hAnsi="Times New Roman" w:eastAsia="宋体" w:cs="Times New Roman"/>
          <w:color w:val="auto"/>
          <w:sz w:val="24"/>
          <w:szCs w:val="24"/>
          <w:highlight w:val="none"/>
          <w:lang w:val="en-US" w:eastAsia="zh-CN"/>
        </w:rPr>
      </w:pPr>
      <w:r>
        <w:rPr>
          <w:rStyle w:val="97"/>
          <w:rFonts w:hint="eastAsia" w:ascii="Times New Roman" w:hAnsi="Times New Roman" w:eastAsia="宋体" w:cs="Times New Roman"/>
          <w:color w:val="auto"/>
          <w:sz w:val="24"/>
          <w:szCs w:val="24"/>
          <w:highlight w:val="none"/>
          <w:lang w:val="en-US" w:eastAsia="zh-CN"/>
        </w:rPr>
        <w:t>22</w:t>
      </w:r>
      <w:r>
        <w:rPr>
          <w:rStyle w:val="97"/>
          <w:rFonts w:hint="default" w:ascii="Times New Roman" w:hAnsi="Times New Roman" w:eastAsia="宋体" w:cs="Times New Roman"/>
          <w:color w:val="auto"/>
          <w:sz w:val="24"/>
          <w:szCs w:val="24"/>
          <w:highlight w:val="none"/>
          <w:lang w:val="en-US" w:eastAsia="zh-CN"/>
        </w:rPr>
        <w:t>.2发布成交结果公告同时向成交供应商发出成交通知书。</w:t>
      </w:r>
    </w:p>
    <w:p w14:paraId="45917894">
      <w:pPr>
        <w:pageBreakBefore w:val="0"/>
        <w:kinsoku/>
        <w:wordWrap/>
        <w:overflowPunct/>
        <w:autoSpaceDE/>
        <w:autoSpaceDN/>
        <w:bidi w:val="0"/>
        <w:spacing w:after="0" w:line="560" w:lineRule="exact"/>
        <w:ind w:firstLine="480" w:firstLineChars="200"/>
        <w:rPr>
          <w:rStyle w:val="97"/>
          <w:rFonts w:hint="eastAsia" w:ascii="Times New Roman" w:hAnsi="Times New Roman" w:eastAsia="宋体" w:cs="Times New Roman"/>
          <w:color w:val="auto"/>
          <w:sz w:val="24"/>
          <w:szCs w:val="24"/>
          <w:highlight w:val="none"/>
          <w:lang w:val="en-US" w:eastAsia="zh-CN"/>
        </w:rPr>
      </w:pPr>
      <w:r>
        <w:rPr>
          <w:rStyle w:val="97"/>
          <w:rFonts w:hint="eastAsia" w:ascii="Times New Roman" w:hAnsi="Times New Roman" w:eastAsia="宋体" w:cs="Times New Roman"/>
          <w:color w:val="auto"/>
          <w:sz w:val="24"/>
          <w:szCs w:val="24"/>
          <w:highlight w:val="none"/>
          <w:lang w:val="en-US" w:eastAsia="zh-CN"/>
        </w:rPr>
        <w:t>22.3成交通知书发出后，采购人不得违法改变成交结果，成交供应商无正当理由不得放弃成交。</w:t>
      </w:r>
    </w:p>
    <w:p w14:paraId="689DB4CC">
      <w:pPr>
        <w:pageBreakBefore w:val="0"/>
        <w:tabs>
          <w:tab w:val="left" w:pos="641"/>
        </w:tabs>
        <w:kinsoku/>
        <w:wordWrap/>
        <w:overflowPunct/>
        <w:autoSpaceDE/>
        <w:autoSpaceDN/>
        <w:bidi w:val="0"/>
        <w:spacing w:after="0" w:line="560" w:lineRule="exact"/>
        <w:rPr>
          <w:rStyle w:val="97"/>
          <w:rFonts w:hint="default" w:ascii="Times New Roman" w:hAnsi="Times New Roman" w:eastAsia="宋体" w:cs="宋体"/>
          <w:b/>
          <w:bCs/>
          <w:color w:val="auto"/>
          <w:sz w:val="24"/>
          <w:szCs w:val="24"/>
          <w:highlight w:val="none"/>
          <w:lang w:val="en-US" w:eastAsia="zh-CN"/>
        </w:rPr>
      </w:pPr>
      <w:r>
        <w:rPr>
          <w:rStyle w:val="97"/>
          <w:rFonts w:hint="eastAsia" w:ascii="Times New Roman" w:hAnsi="Times New Roman" w:eastAsia="宋体" w:cs="宋体"/>
          <w:b/>
          <w:bCs/>
          <w:color w:val="auto"/>
          <w:sz w:val="24"/>
          <w:szCs w:val="24"/>
          <w:highlight w:val="none"/>
          <w:lang w:val="en-US" w:eastAsia="zh-CN"/>
        </w:rPr>
        <w:t>23.</w:t>
      </w:r>
      <w:r>
        <w:rPr>
          <w:rStyle w:val="97"/>
          <w:rFonts w:hint="default" w:ascii="Times New Roman" w:hAnsi="Times New Roman" w:eastAsia="宋体" w:cs="宋体"/>
          <w:b/>
          <w:bCs/>
          <w:color w:val="auto"/>
          <w:sz w:val="24"/>
          <w:szCs w:val="24"/>
          <w:highlight w:val="none"/>
          <w:lang w:val="en-US" w:eastAsia="zh-CN"/>
        </w:rPr>
        <w:t>接受和拒绝任何或所有磋商响应的权利</w:t>
      </w:r>
    </w:p>
    <w:p w14:paraId="3F25DA8E">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rFonts w:hint="default" w:ascii="Times New Roman" w:hAnsi="Times New Roman" w:eastAsia="宋体" w:cs="Times New Roman"/>
          <w:color w:val="auto"/>
          <w:sz w:val="24"/>
          <w:szCs w:val="24"/>
          <w:highlight w:val="none"/>
          <w:lang w:val="en-US" w:eastAsia="zh-CN"/>
        </w:rPr>
        <w:t>如出现重大变故，采购任务取消情况，</w:t>
      </w:r>
      <w:r>
        <w:rPr>
          <w:rStyle w:val="97"/>
          <w:rFonts w:hint="eastAsia" w:ascii="Times New Roman" w:hAnsi="Times New Roman" w:eastAsia="宋体" w:cs="Times New Roman"/>
          <w:color w:val="auto"/>
          <w:sz w:val="24"/>
          <w:szCs w:val="24"/>
          <w:highlight w:val="none"/>
          <w:lang w:val="en-US" w:eastAsia="zh-CN"/>
        </w:rPr>
        <w:t>采购代理机构</w:t>
      </w:r>
      <w:r>
        <w:rPr>
          <w:rStyle w:val="97"/>
          <w:rFonts w:hint="default" w:ascii="Times New Roman" w:hAnsi="Times New Roman" w:eastAsia="宋体" w:cs="Times New Roman"/>
          <w:color w:val="auto"/>
          <w:sz w:val="24"/>
          <w:szCs w:val="24"/>
          <w:highlight w:val="none"/>
          <w:lang w:val="en-US" w:eastAsia="zh-CN"/>
        </w:rPr>
        <w:t>和采购人保留因此原因在授标之前任何时候接受或拒绝任何磋商响应、以及宣布竞争性磋商无效或拒绝所有磋商响应的权利，对受影响的供应商不承担任何责任。</w:t>
      </w:r>
    </w:p>
    <w:p w14:paraId="1A9C2B4A">
      <w:pPr>
        <w:keepNext w:val="0"/>
        <w:keepLines w:val="0"/>
        <w:pageBreakBefore w:val="0"/>
        <w:kinsoku/>
        <w:wordWrap/>
        <w:overflowPunct/>
        <w:topLinePunct w:val="0"/>
        <w:autoSpaceDE/>
        <w:autoSpaceDN/>
        <w:bidi w:val="0"/>
        <w:adjustRightInd/>
        <w:snapToGrid/>
        <w:spacing w:after="0" w:line="500" w:lineRule="exact"/>
        <w:ind w:left="0" w:leftChars="0"/>
        <w:jc w:val="center"/>
        <w:outlineLvl w:val="0"/>
        <w:rPr>
          <w:rFonts w:hint="eastAsia"/>
          <w:b/>
          <w:bCs/>
          <w:color w:val="auto"/>
          <w:sz w:val="24"/>
          <w:szCs w:val="24"/>
          <w:highlight w:val="none"/>
        </w:rPr>
      </w:pPr>
      <w:bookmarkStart w:id="15" w:name="_Toc3944"/>
      <w:bookmarkStart w:id="16" w:name="_Toc13732"/>
      <w:bookmarkStart w:id="17" w:name="_Toc22294"/>
      <w:r>
        <w:rPr>
          <w:color w:val="auto"/>
          <w:sz w:val="24"/>
          <w:szCs w:val="24"/>
          <w:highlight w:val="none"/>
        </w:rPr>
        <w:br w:type="page"/>
      </w:r>
      <w:bookmarkStart w:id="18" w:name="_Toc26722"/>
      <w:r>
        <w:rPr>
          <w:rFonts w:hint="eastAsia"/>
          <w:b/>
          <w:bCs/>
          <w:color w:val="auto"/>
          <w:sz w:val="24"/>
          <w:szCs w:val="24"/>
          <w:highlight w:val="none"/>
          <w:lang w:val="en-US" w:eastAsia="zh-CN"/>
        </w:rPr>
        <w:t xml:space="preserve">第三章 </w:t>
      </w:r>
      <w:r>
        <w:rPr>
          <w:rFonts w:hint="eastAsia"/>
          <w:b/>
          <w:bCs/>
          <w:color w:val="auto"/>
          <w:sz w:val="24"/>
          <w:szCs w:val="24"/>
          <w:highlight w:val="none"/>
        </w:rPr>
        <w:t>项目采购需求</w:t>
      </w:r>
      <w:bookmarkEnd w:id="15"/>
      <w:bookmarkEnd w:id="16"/>
      <w:bookmarkEnd w:id="17"/>
      <w:bookmarkEnd w:id="18"/>
    </w:p>
    <w:p w14:paraId="00C9D681">
      <w:pPr>
        <w:pStyle w:val="14"/>
        <w:keepNext w:val="0"/>
        <w:keepLines w:val="0"/>
        <w:pageBreakBefore w:val="0"/>
        <w:kinsoku/>
        <w:overflowPunct/>
        <w:topLinePunct w:val="0"/>
        <w:autoSpaceDE/>
        <w:autoSpaceDN/>
        <w:bidi w:val="0"/>
        <w:adjustRightInd/>
        <w:snapToGrid/>
        <w:spacing w:after="0" w:line="500" w:lineRule="exact"/>
        <w:ind w:left="482" w:leftChars="0" w:hanging="480"/>
        <w:jc w:val="both"/>
        <w:rPr>
          <w:rFonts w:hint="eastAsia" w:ascii="宋体" w:hAnsi="宋体" w:eastAsia="宋体" w:cs="宋体"/>
          <w:b/>
          <w:bCs/>
          <w:sz w:val="24"/>
          <w:szCs w:val="24"/>
        </w:rPr>
      </w:pPr>
      <w:bookmarkStart w:id="19" w:name="_Toc4224"/>
      <w:bookmarkStart w:id="20" w:name="_Toc28059"/>
      <w:bookmarkStart w:id="21" w:name="_Toc12170"/>
      <w:r>
        <w:rPr>
          <w:rFonts w:hint="eastAsia" w:ascii="宋体" w:hAnsi="宋体" w:eastAsia="宋体" w:cs="宋体"/>
          <w:b/>
          <w:bCs/>
          <w:sz w:val="24"/>
          <w:szCs w:val="24"/>
        </w:rPr>
        <w:t>一、项目概况</w:t>
      </w:r>
    </w:p>
    <w:p w14:paraId="024083F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w:t>
      </w:r>
      <w:r>
        <w:rPr>
          <w:rFonts w:hint="eastAsia" w:ascii="宋体" w:hAnsi="宋体" w:eastAsia="宋体" w:cs="宋体"/>
          <w:color w:val="auto"/>
          <w:sz w:val="24"/>
          <w:szCs w:val="24"/>
          <w:lang w:eastAsia="zh-CN"/>
        </w:rPr>
        <w:t>郑州市自然资源和规划局高新分局</w:t>
      </w:r>
      <w:r>
        <w:rPr>
          <w:rFonts w:hint="eastAsia" w:ascii="宋体" w:hAnsi="宋体" w:eastAsia="宋体" w:cs="宋体"/>
          <w:color w:val="auto"/>
          <w:sz w:val="24"/>
          <w:szCs w:val="24"/>
        </w:rPr>
        <w:t>不动产交易和登记中心202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度产生各类业务档案（纸质及电子）等文件进场档案管理，包括文件资料的排序和编写页码、卷内文件目录和备考表的编制、纸质档案的数字化、封皮和档案盒的编制、档案的装订和入库排列以及上架等内容，具体数量以不动产交易和登记中心核定为准。</w:t>
      </w:r>
    </w:p>
    <w:p w14:paraId="7CFE5CC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eastAsia="zh-CN"/>
        </w:rPr>
        <w:t>：600000.00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（本项目第一年预算金额为600000.00元，后续年度金额以财政审批为准）</w:t>
      </w:r>
    </w:p>
    <w:p w14:paraId="04B297F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eastAsia="zh-CN"/>
        </w:rPr>
        <w:t>：自合同签订之日起一年（经采购人考核合格，可续签下一年度合同，最多续签两年）</w:t>
      </w:r>
    </w:p>
    <w:p w14:paraId="7C29F93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质量要求</w:t>
      </w:r>
      <w:r>
        <w:rPr>
          <w:rFonts w:hint="eastAsia" w:ascii="宋体" w:hAnsi="宋体" w:eastAsia="宋体" w:cs="宋体"/>
          <w:sz w:val="24"/>
          <w:szCs w:val="24"/>
          <w:lang w:eastAsia="zh-CN"/>
        </w:rPr>
        <w:t>：</w:t>
      </w:r>
      <w:r>
        <w:rPr>
          <w:rFonts w:hint="eastAsia" w:ascii="宋体" w:hAnsi="宋体" w:eastAsia="宋体" w:cs="宋体"/>
          <w:sz w:val="24"/>
          <w:szCs w:val="24"/>
        </w:rPr>
        <w:t>合格，通过主管部门验收</w:t>
      </w:r>
    </w:p>
    <w:p w14:paraId="7DD2BB4C">
      <w:pPr>
        <w:keepNext w:val="0"/>
        <w:keepLines w:val="0"/>
        <w:pageBreakBefore w:val="0"/>
        <w:kinsoku/>
        <w:overflowPunct/>
        <w:topLinePunct w:val="0"/>
        <w:autoSpaceDE/>
        <w:autoSpaceDN/>
        <w:bidi w:val="0"/>
        <w:adjustRightInd/>
        <w:snapToGrid/>
        <w:spacing w:after="0" w:line="500" w:lineRule="exact"/>
        <w:ind w:left="0" w:leftChars="0"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二、不动产登记档案整理规范及要求</w:t>
      </w:r>
    </w:p>
    <w:p w14:paraId="34B62C7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1、不动产登记档案的收集</w:t>
      </w:r>
      <w:r>
        <w:rPr>
          <w:rFonts w:hint="eastAsia" w:ascii="宋体" w:hAnsi="宋体" w:eastAsia="宋体" w:cs="宋体"/>
          <w:b/>
          <w:bCs/>
          <w:sz w:val="24"/>
          <w:szCs w:val="24"/>
          <w:lang w:eastAsia="zh-CN"/>
        </w:rPr>
        <w:t>：</w:t>
      </w:r>
    </w:p>
    <w:p w14:paraId="08889D4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1.1归档范围</w:t>
      </w:r>
    </w:p>
    <w:p w14:paraId="1649DBA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不动产登记资料包括</w:t>
      </w:r>
      <w:r>
        <w:rPr>
          <w:rFonts w:hint="eastAsia" w:ascii="宋体" w:hAnsi="宋体" w:eastAsia="宋体" w:cs="宋体"/>
          <w:sz w:val="24"/>
          <w:szCs w:val="24"/>
          <w:lang w:eastAsia="zh-CN"/>
        </w:rPr>
        <w:t>：</w:t>
      </w:r>
    </w:p>
    <w:p w14:paraId="35D665C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1、不动产登记簿等不动产登记结果。</w:t>
      </w:r>
    </w:p>
    <w:p w14:paraId="04E8C1E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2、不动产登记经办部门，在办理各类不动产登记业务中形成的具有保存价值的文字、图表、声像等材料，包括</w:t>
      </w:r>
      <w:r>
        <w:rPr>
          <w:rFonts w:hint="eastAsia" w:ascii="宋体" w:hAnsi="宋体" w:eastAsia="宋体" w:cs="宋体"/>
          <w:sz w:val="24"/>
          <w:szCs w:val="24"/>
          <w:lang w:eastAsia="zh-CN"/>
        </w:rPr>
        <w:t>：</w:t>
      </w:r>
    </w:p>
    <w:p w14:paraId="41DE90A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(1)不动产登记申请书</w:t>
      </w:r>
      <w:r>
        <w:rPr>
          <w:rFonts w:hint="eastAsia" w:ascii="宋体" w:hAnsi="宋体" w:eastAsia="宋体" w:cs="宋体"/>
          <w:sz w:val="24"/>
          <w:szCs w:val="24"/>
          <w:lang w:eastAsia="zh-CN"/>
        </w:rPr>
        <w:t>；</w:t>
      </w:r>
    </w:p>
    <w:p w14:paraId="5BFEB8A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(2)申请人身份证明材料</w:t>
      </w:r>
      <w:r>
        <w:rPr>
          <w:rFonts w:hint="eastAsia" w:ascii="宋体" w:hAnsi="宋体" w:eastAsia="宋体" w:cs="宋体"/>
          <w:sz w:val="24"/>
          <w:szCs w:val="24"/>
          <w:lang w:eastAsia="zh-CN"/>
        </w:rPr>
        <w:t>；</w:t>
      </w:r>
    </w:p>
    <w:p w14:paraId="500F71C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(3)申请人提交的登记材料</w:t>
      </w:r>
      <w:r>
        <w:rPr>
          <w:rFonts w:hint="eastAsia" w:ascii="宋体" w:hAnsi="宋体" w:eastAsia="宋体" w:cs="宋体"/>
          <w:sz w:val="24"/>
          <w:szCs w:val="24"/>
          <w:lang w:eastAsia="zh-CN"/>
        </w:rPr>
        <w:t>；</w:t>
      </w:r>
    </w:p>
    <w:p w14:paraId="4C6B9D9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(4)不动产登记机构查验、询问、实地查看或调查、公告等形成的审核材料</w:t>
      </w:r>
      <w:r>
        <w:rPr>
          <w:rFonts w:hint="eastAsia" w:ascii="宋体" w:hAnsi="宋体" w:eastAsia="宋体" w:cs="宋体"/>
          <w:sz w:val="24"/>
          <w:szCs w:val="24"/>
          <w:lang w:eastAsia="zh-CN"/>
        </w:rPr>
        <w:t>；</w:t>
      </w:r>
    </w:p>
    <w:p w14:paraId="3E49FE0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(5)不动产权籍调查表、宗地图、宗地界址点坐标等不动产权籍调查成果</w:t>
      </w:r>
      <w:r>
        <w:rPr>
          <w:rFonts w:hint="eastAsia" w:ascii="宋体" w:hAnsi="宋体" w:eastAsia="宋体" w:cs="宋体"/>
          <w:sz w:val="24"/>
          <w:szCs w:val="24"/>
          <w:lang w:eastAsia="zh-CN"/>
        </w:rPr>
        <w:t>；</w:t>
      </w:r>
    </w:p>
    <w:p w14:paraId="339B056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(6)法律、行政法规以及规定的其他材料。</w:t>
      </w:r>
    </w:p>
    <w:p w14:paraId="5C3288F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3、其他有关机关出具的复函、意见以及不动产登记过程中产生的其他依法应当保存的材料等。</w:t>
      </w:r>
    </w:p>
    <w:p w14:paraId="533BE1C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1.2资料移交</w:t>
      </w:r>
    </w:p>
    <w:p w14:paraId="3451519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1、此移交方案适用于经手不动产登记档案的所有机构、部门或科室之间的移交。</w:t>
      </w:r>
    </w:p>
    <w:p w14:paraId="6699096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动产登记工作完成后，不动产登记经办机构应提前整理好登记资料，地统一制式的移交清单，将不动产登记原始资料和具有保存价值的其他材料收菜整理、并及时、完整地移交至档案管理部门。任何单位和个人不得拒绝归档或者据为己有。</w:t>
      </w:r>
    </w:p>
    <w:p w14:paraId="5E4A817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3、移交和接收标准:</w:t>
      </w:r>
    </w:p>
    <w:p w14:paraId="4DA23C5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(1)档案按照不同的登记业务细项分别移交</w:t>
      </w:r>
      <w:r>
        <w:rPr>
          <w:rFonts w:hint="eastAsia" w:ascii="宋体" w:hAnsi="宋体" w:eastAsia="宋体" w:cs="宋体"/>
          <w:sz w:val="24"/>
          <w:szCs w:val="24"/>
          <w:lang w:eastAsia="zh-CN"/>
        </w:rPr>
        <w:t>；</w:t>
      </w:r>
    </w:p>
    <w:p w14:paraId="271DEF3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(2)每份档案的登记材料全部内置档案袋内</w:t>
      </w:r>
      <w:r>
        <w:rPr>
          <w:rFonts w:hint="eastAsia" w:ascii="宋体" w:hAnsi="宋体" w:eastAsia="宋体" w:cs="宋体"/>
          <w:sz w:val="24"/>
          <w:szCs w:val="24"/>
          <w:lang w:eastAsia="zh-CN"/>
        </w:rPr>
        <w:t>；</w:t>
      </w:r>
    </w:p>
    <w:p w14:paraId="4FE83C1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(3)每份档案袋的封皮粘贴最新的受理凭证</w:t>
      </w:r>
      <w:r>
        <w:rPr>
          <w:rFonts w:hint="eastAsia" w:ascii="宋体" w:hAnsi="宋体" w:eastAsia="宋体" w:cs="宋体"/>
          <w:sz w:val="24"/>
          <w:szCs w:val="24"/>
          <w:lang w:eastAsia="zh-CN"/>
        </w:rPr>
        <w:t>；</w:t>
      </w:r>
    </w:p>
    <w:p w14:paraId="48AFEA3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(4)每份档案袋内应含一套完整有效的登记材料</w:t>
      </w:r>
      <w:r>
        <w:rPr>
          <w:rFonts w:hint="eastAsia" w:ascii="宋体" w:hAnsi="宋体" w:eastAsia="宋体" w:cs="宋体"/>
          <w:sz w:val="24"/>
          <w:szCs w:val="24"/>
          <w:lang w:eastAsia="zh-CN"/>
        </w:rPr>
        <w:t>；</w:t>
      </w:r>
    </w:p>
    <w:p w14:paraId="44CE574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(5)档案袋的摆放顺序和传递表记载的顺序一致</w:t>
      </w:r>
      <w:r>
        <w:rPr>
          <w:rFonts w:hint="eastAsia" w:ascii="宋体" w:hAnsi="宋体" w:eastAsia="宋体" w:cs="宋体"/>
          <w:sz w:val="24"/>
          <w:szCs w:val="24"/>
          <w:lang w:eastAsia="zh-CN"/>
        </w:rPr>
        <w:t>；</w:t>
      </w:r>
    </w:p>
    <w:p w14:paraId="0AA86F9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(6)传递表记载的档案条目数量和档案袋数量致</w:t>
      </w:r>
      <w:r>
        <w:rPr>
          <w:rFonts w:hint="eastAsia" w:ascii="宋体" w:hAnsi="宋体" w:eastAsia="宋体" w:cs="宋体"/>
          <w:sz w:val="24"/>
          <w:szCs w:val="24"/>
          <w:lang w:eastAsia="zh-CN"/>
        </w:rPr>
        <w:t>；</w:t>
      </w:r>
    </w:p>
    <w:p w14:paraId="39EDF80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(7)受理凭证标注的内容和传递表记载信息</w:t>
      </w:r>
      <w:r>
        <w:rPr>
          <w:rFonts w:hint="eastAsia" w:ascii="宋体" w:hAnsi="宋体" w:eastAsia="宋体" w:cs="宋体"/>
          <w:sz w:val="24"/>
          <w:szCs w:val="24"/>
          <w:lang w:eastAsia="zh-CN"/>
        </w:rPr>
        <w:t>一</w:t>
      </w:r>
      <w:r>
        <w:rPr>
          <w:rFonts w:hint="eastAsia" w:ascii="宋体" w:hAnsi="宋体" w:eastAsia="宋体" w:cs="宋体"/>
          <w:sz w:val="24"/>
          <w:szCs w:val="24"/>
        </w:rPr>
        <w:t>致。</w:t>
      </w:r>
    </w:p>
    <w:p w14:paraId="2C914C3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1.3归档要求</w:t>
      </w:r>
    </w:p>
    <w:p w14:paraId="5142CF8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归档材料应当做到内容完整、数据准确、表格填写清楚规范、图形清晰、声像资料能够正常使用，真实反应不动产登记及其变动的实际状况。</w:t>
      </w:r>
    </w:p>
    <w:p w14:paraId="3186309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1.4归档验收</w:t>
      </w:r>
    </w:p>
    <w:p w14:paraId="052E281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1、不动产登记档案管理部门应当对归档的不动产登记资料;进行验收，不符合要求的，不予归档。</w:t>
      </w:r>
    </w:p>
    <w:p w14:paraId="7736DA4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2、移交双方需当场核对清楚，该移交批次中如有不符合以上接收标准，且当场不能修正的情况出现，该批次不予接收。</w:t>
      </w:r>
    </w:p>
    <w:p w14:paraId="518B148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1.5移交清单</w:t>
      </w:r>
    </w:p>
    <w:p w14:paraId="7364E18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移交双方之间应当填写统一制式的移交清单，一式两份。交接双方根据档案移交清单进行清点核对，由移交人、接收人签字后各执份，标注交接日期。移交清单包括序号、业务号、登记业务类型、权利人，坐落等基本情况。不符合上述规定要求的，不予接收。</w:t>
      </w:r>
    </w:p>
    <w:p w14:paraId="290C0E49">
      <w:pPr>
        <w:pStyle w:val="14"/>
        <w:keepNext w:val="0"/>
        <w:keepLines w:val="0"/>
        <w:pageBreakBefore w:val="0"/>
        <w:kinsoku/>
        <w:overflowPunct/>
        <w:topLinePunct w:val="0"/>
        <w:autoSpaceDE/>
        <w:autoSpaceDN/>
        <w:bidi w:val="0"/>
        <w:adjustRightInd/>
        <w:snapToGrid/>
        <w:spacing w:after="0" w:line="500" w:lineRule="exact"/>
        <w:ind w:left="482" w:leftChars="0" w:hanging="480"/>
        <w:jc w:val="both"/>
        <w:rPr>
          <w:rFonts w:hint="eastAsia" w:ascii="宋体" w:hAnsi="宋体" w:eastAsia="宋体" w:cs="宋体"/>
          <w:b/>
          <w:bCs/>
          <w:sz w:val="24"/>
          <w:szCs w:val="24"/>
        </w:rPr>
      </w:pPr>
      <w:r>
        <w:rPr>
          <w:rFonts w:hint="eastAsia" w:ascii="宋体" w:hAnsi="宋体" w:eastAsia="宋体" w:cs="宋体"/>
          <w:b/>
          <w:bCs/>
          <w:sz w:val="24"/>
          <w:szCs w:val="24"/>
        </w:rPr>
        <w:t>2、不动产登记档案的整理</w:t>
      </w:r>
    </w:p>
    <w:p w14:paraId="334A32C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2.1整理项目</w:t>
      </w:r>
    </w:p>
    <w:p w14:paraId="546D123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不动产登记档案由由整理人员立卷归档，整理工作应细化内部岗位职责标准作业流程、技术要求、质量控制和人员统筹等各方面事项。整理项目包括</w:t>
      </w:r>
      <w:r>
        <w:rPr>
          <w:rFonts w:hint="eastAsia" w:ascii="宋体" w:hAnsi="宋体" w:eastAsia="宋体" w:cs="宋体"/>
          <w:sz w:val="24"/>
          <w:szCs w:val="24"/>
          <w:lang w:eastAsia="zh-CN"/>
        </w:rPr>
        <w:t>：</w:t>
      </w:r>
      <w:r>
        <w:rPr>
          <w:rFonts w:hint="eastAsia" w:ascii="宋体" w:hAnsi="宋体" w:eastAsia="宋体" w:cs="宋体"/>
          <w:sz w:val="24"/>
          <w:szCs w:val="24"/>
        </w:rPr>
        <w:t>文件资料的排序和编写页码、卷内文件目录和备考表的编制、纸质档案的数字化、封皮和档案盒的编制、档案的装订和入库排列等。</w:t>
      </w:r>
    </w:p>
    <w:p w14:paraId="53F3EE3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2.2立卷原则</w:t>
      </w:r>
    </w:p>
    <w:p w14:paraId="7D95C59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动产登记档案，应当做到书写材料合乎标准、字迹工整、内容规范、图形清晰、数据准确、符合档案立卷归档的要求。</w:t>
      </w:r>
    </w:p>
    <w:p w14:paraId="51E4CEA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不动产登记档案立卷原则:</w:t>
      </w:r>
    </w:p>
    <w:p w14:paraId="64F2D31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不动产登记档案立卷宜采用件一卷的原则，即每办理一件登记所形成的材料立一个卷</w:t>
      </w:r>
      <w:r>
        <w:rPr>
          <w:rFonts w:hint="eastAsia" w:ascii="宋体" w:hAnsi="宋体" w:eastAsia="宋体" w:cs="宋体"/>
          <w:sz w:val="24"/>
          <w:szCs w:val="24"/>
          <w:lang w:eastAsia="zh-CN"/>
        </w:rPr>
        <w:t>；</w:t>
      </w:r>
    </w:p>
    <w:p w14:paraId="282AEEE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2、每变动一次产生的材料立为一卷， 立卷后及时建立相关案卷之间的关联，做好档案信息的动态管理，方便查找利用。</w:t>
      </w:r>
    </w:p>
    <w:p w14:paraId="73837ED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2.3档案号生成规则</w:t>
      </w:r>
    </w:p>
    <w:p w14:paraId="6A88649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档案号编写:不动产登记档案的档案号编制参照不动产证书、证明编号规则制定，档案号由省(市)份简称汉字、年度、不动产登记业务受理网点拼音首字母缩写、登记业务类别和案卷顺序号五部分组成。具体分类根据业务开展需要，由市不动产登记中心协调有关部门统一制定。</w:t>
      </w:r>
    </w:p>
    <w:p w14:paraId="72EAFB1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郑州市不动产登记业务共十处受理网点，与其首字母缩写对应关系分别是</w:t>
      </w:r>
      <w:r>
        <w:rPr>
          <w:rFonts w:hint="eastAsia" w:ascii="宋体" w:hAnsi="宋体" w:eastAsia="宋体" w:cs="宋体"/>
          <w:sz w:val="24"/>
          <w:szCs w:val="24"/>
          <w:lang w:eastAsia="zh-CN"/>
        </w:rPr>
        <w:t>：</w:t>
      </w:r>
      <w:r>
        <w:rPr>
          <w:rFonts w:hint="eastAsia" w:ascii="宋体" w:hAnsi="宋体" w:eastAsia="宋体" w:cs="宋体"/>
          <w:sz w:val="24"/>
          <w:szCs w:val="24"/>
        </w:rPr>
        <w:t>管城区不动产登记网点，简称GC;政务服务大厅(含之前中原区不动产分中心和西区联合网点)不动产登记网点，简称ZY:二七区不动产登记网点，简称EQ;金水区服务大厅不动产登记网点，简称JS;南阳路服务大厅(含之前惠济区不动产分中心)不动产登记网点，简称HJ;高新区服务大厅不动产登记网点，简称GX:郑东新区服务大厅不动产登记网点，简称ZD;经开区服务大厅不动产登记网点，简称JK;长江路服务大厅不动产登记网点，简称SJ</w:t>
      </w:r>
      <w:r>
        <w:rPr>
          <w:rFonts w:hint="eastAsia" w:ascii="宋体" w:hAnsi="宋体" w:eastAsia="宋体" w:cs="宋体"/>
          <w:sz w:val="24"/>
          <w:szCs w:val="24"/>
          <w:lang w:eastAsia="zh-CN"/>
        </w:rPr>
        <w:t>；</w:t>
      </w:r>
      <w:r>
        <w:rPr>
          <w:rFonts w:hint="eastAsia" w:ascii="宋体" w:hAnsi="宋体" w:eastAsia="宋体" w:cs="宋体"/>
          <w:sz w:val="24"/>
          <w:szCs w:val="24"/>
        </w:rPr>
        <w:t>CBD服务大厅不动产登记网点，简称DQ。</w:t>
      </w:r>
    </w:p>
    <w:p w14:paraId="04ED1BB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类别共六个，分别和不动产登记各个业务相关联。分别是:证书类，简称</w:t>
      </w:r>
      <w:r>
        <w:rPr>
          <w:rFonts w:hint="eastAsia" w:ascii="宋体" w:hAnsi="宋体" w:eastAsia="宋体" w:cs="宋体"/>
          <w:sz w:val="24"/>
          <w:szCs w:val="24"/>
          <w:lang w:val="en-US" w:eastAsia="zh-CN"/>
        </w:rPr>
        <w:t>ZS</w:t>
      </w:r>
      <w:r>
        <w:rPr>
          <w:rFonts w:hint="eastAsia" w:ascii="宋体" w:hAnsi="宋体" w:eastAsia="宋体" w:cs="宋体"/>
          <w:sz w:val="24"/>
          <w:szCs w:val="24"/>
          <w:lang w:eastAsia="zh-CN"/>
        </w:rPr>
        <w:t>；</w:t>
      </w:r>
      <w:r>
        <w:rPr>
          <w:rFonts w:hint="eastAsia" w:ascii="宋体" w:hAnsi="宋体" w:eastAsia="宋体" w:cs="宋体"/>
          <w:sz w:val="24"/>
          <w:szCs w:val="24"/>
        </w:rPr>
        <w:t>证明类，简称ZM</w:t>
      </w:r>
      <w:r>
        <w:rPr>
          <w:rFonts w:hint="eastAsia" w:ascii="宋体" w:hAnsi="宋体" w:eastAsia="宋体" w:cs="宋体"/>
          <w:sz w:val="24"/>
          <w:szCs w:val="24"/>
          <w:lang w:eastAsia="zh-CN"/>
        </w:rPr>
        <w:t>；</w:t>
      </w:r>
      <w:r>
        <w:rPr>
          <w:rFonts w:hint="eastAsia" w:ascii="宋体" w:hAnsi="宋体" w:eastAsia="宋体" w:cs="宋体"/>
          <w:sz w:val="24"/>
          <w:szCs w:val="24"/>
        </w:rPr>
        <w:t>注销类，简称ZX</w:t>
      </w:r>
      <w:r>
        <w:rPr>
          <w:rFonts w:hint="eastAsia" w:ascii="宋体" w:hAnsi="宋体" w:eastAsia="宋体" w:cs="宋体"/>
          <w:sz w:val="24"/>
          <w:szCs w:val="24"/>
          <w:lang w:eastAsia="zh-CN"/>
        </w:rPr>
        <w:t>；</w:t>
      </w:r>
      <w:r>
        <w:rPr>
          <w:rFonts w:hint="eastAsia" w:ascii="宋体" w:hAnsi="宋体" w:eastAsia="宋体" w:cs="宋体"/>
          <w:sz w:val="24"/>
          <w:szCs w:val="24"/>
        </w:rPr>
        <w:t>协执类，简称X</w:t>
      </w:r>
      <w:r>
        <w:rPr>
          <w:rFonts w:hint="eastAsia" w:ascii="宋体" w:hAnsi="宋体" w:eastAsia="宋体" w:cs="宋体"/>
          <w:sz w:val="24"/>
          <w:szCs w:val="24"/>
          <w:lang w:val="en-US" w:eastAsia="zh-CN"/>
        </w:rPr>
        <w:t>Z</w:t>
      </w:r>
      <w:r>
        <w:rPr>
          <w:rFonts w:hint="eastAsia" w:ascii="宋体" w:hAnsi="宋体" w:eastAsia="宋体" w:cs="宋体"/>
          <w:sz w:val="24"/>
          <w:szCs w:val="24"/>
          <w:lang w:eastAsia="zh-CN"/>
        </w:rPr>
        <w:t>；</w:t>
      </w:r>
      <w:r>
        <w:rPr>
          <w:rFonts w:hint="eastAsia" w:ascii="宋体" w:hAnsi="宋体" w:eastAsia="宋体" w:cs="宋体"/>
          <w:sz w:val="24"/>
          <w:szCs w:val="24"/>
        </w:rPr>
        <w:t>变更类，简称BG</w:t>
      </w:r>
      <w:r>
        <w:rPr>
          <w:rFonts w:hint="eastAsia" w:ascii="宋体" w:hAnsi="宋体" w:eastAsia="宋体" w:cs="宋体"/>
          <w:sz w:val="24"/>
          <w:szCs w:val="24"/>
          <w:lang w:eastAsia="zh-CN"/>
        </w:rPr>
        <w:t>；</w:t>
      </w:r>
      <w:r>
        <w:rPr>
          <w:rFonts w:hint="eastAsia" w:ascii="宋体" w:hAnsi="宋体" w:eastAsia="宋体" w:cs="宋体"/>
          <w:sz w:val="24"/>
          <w:szCs w:val="24"/>
        </w:rPr>
        <w:t>其他类，简称QT。</w:t>
      </w:r>
    </w:p>
    <w:p w14:paraId="1951429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年度以创建档案生成档第号的时间为准，和业务办理中的登簿时间无关。</w:t>
      </w:r>
    </w:p>
    <w:p w14:paraId="67FF095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顺序号生成规则是:由7位纯数字组成，每年度均从“1”开始。</w:t>
      </w:r>
    </w:p>
    <w:p w14:paraId="3BC8D80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(1)示例1:管城区2015年不动心登记(证书类)档案归档，档案号编写为</w:t>
      </w:r>
      <w:r>
        <w:rPr>
          <w:rFonts w:hint="eastAsia" w:ascii="宋体" w:hAnsi="宋体" w:eastAsia="宋体" w:cs="宋体"/>
          <w:sz w:val="24"/>
          <w:szCs w:val="24"/>
          <w:lang w:eastAsia="zh-CN"/>
        </w:rPr>
        <w:t>：</w:t>
      </w:r>
      <w:r>
        <w:rPr>
          <w:rFonts w:hint="eastAsia" w:ascii="宋体" w:hAnsi="宋体" w:eastAsia="宋体" w:cs="宋体"/>
          <w:sz w:val="24"/>
          <w:szCs w:val="24"/>
        </w:rPr>
        <w:t>郑2015GCZS0000001。</w:t>
      </w:r>
    </w:p>
    <w:p w14:paraId="3C8F7D8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具体解释为</w:t>
      </w:r>
      <w:r>
        <w:rPr>
          <w:rFonts w:hint="eastAsia" w:ascii="宋体" w:hAnsi="宋体" w:eastAsia="宋体" w:cs="宋体"/>
          <w:sz w:val="24"/>
          <w:szCs w:val="24"/>
          <w:lang w:eastAsia="zh-CN"/>
        </w:rPr>
        <w:t>：</w:t>
      </w:r>
      <w:r>
        <w:rPr>
          <w:rFonts w:hint="eastAsia" w:ascii="宋体" w:hAnsi="宋体" w:eastAsia="宋体" w:cs="宋体"/>
          <w:sz w:val="24"/>
          <w:szCs w:val="24"/>
        </w:rPr>
        <w:t>郑(郑州)2015 (年度) -</w:t>
      </w:r>
      <w:r>
        <w:rPr>
          <w:rFonts w:hint="eastAsia" w:ascii="宋体" w:hAnsi="宋体" w:eastAsia="宋体" w:cs="宋体"/>
          <w:sz w:val="24"/>
          <w:szCs w:val="24"/>
          <w:lang w:val="en-US" w:eastAsia="zh-CN"/>
        </w:rPr>
        <w:t>G</w:t>
      </w:r>
      <w:r>
        <w:rPr>
          <w:rFonts w:hint="eastAsia" w:ascii="宋体" w:hAnsi="宋体" w:eastAsia="宋体" w:cs="宋体"/>
          <w:sz w:val="24"/>
          <w:szCs w:val="24"/>
        </w:rPr>
        <w:t xml:space="preserve">C (管城区) - </w:t>
      </w:r>
      <w:r>
        <w:rPr>
          <w:rFonts w:hint="eastAsia" w:ascii="宋体" w:hAnsi="宋体" w:eastAsia="宋体" w:cs="宋体"/>
          <w:sz w:val="24"/>
          <w:szCs w:val="24"/>
          <w:lang w:val="en-US" w:eastAsia="zh-CN"/>
        </w:rPr>
        <w:t>Z</w:t>
      </w:r>
      <w:r>
        <w:rPr>
          <w:rFonts w:hint="eastAsia" w:ascii="宋体" w:hAnsi="宋体" w:eastAsia="宋体" w:cs="宋体"/>
          <w:sz w:val="24"/>
          <w:szCs w:val="24"/>
        </w:rPr>
        <w:t>S(证书类) - 000(案卷顺序号)。</w:t>
      </w:r>
    </w:p>
    <w:p w14:paraId="7525D22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示例2</w:t>
      </w:r>
      <w:r>
        <w:rPr>
          <w:rFonts w:hint="eastAsia" w:ascii="宋体" w:hAnsi="宋体" w:eastAsia="宋体" w:cs="宋体"/>
          <w:sz w:val="24"/>
          <w:szCs w:val="24"/>
          <w:lang w:eastAsia="zh-CN"/>
        </w:rPr>
        <w:t>：</w:t>
      </w:r>
      <w:r>
        <w:rPr>
          <w:rFonts w:hint="eastAsia" w:ascii="宋体" w:hAnsi="宋体" w:eastAsia="宋体" w:cs="宋体"/>
          <w:sz w:val="24"/>
          <w:szCs w:val="24"/>
        </w:rPr>
        <w:t>二七区2016 年度不动产登记(证明类)档案归档，档案号编写为</w:t>
      </w:r>
      <w:r>
        <w:rPr>
          <w:rFonts w:hint="eastAsia" w:ascii="宋体" w:hAnsi="宋体" w:eastAsia="宋体" w:cs="宋体"/>
          <w:sz w:val="24"/>
          <w:szCs w:val="24"/>
          <w:lang w:eastAsia="zh-CN"/>
        </w:rPr>
        <w:t>：</w:t>
      </w:r>
      <w:r>
        <w:rPr>
          <w:rFonts w:hint="eastAsia" w:ascii="宋体" w:hAnsi="宋体" w:eastAsia="宋体" w:cs="宋体"/>
          <w:sz w:val="24"/>
          <w:szCs w:val="24"/>
        </w:rPr>
        <w:t>郑</w:t>
      </w:r>
      <w:r>
        <w:rPr>
          <w:rFonts w:hint="eastAsia" w:ascii="宋体" w:hAnsi="宋体" w:eastAsia="宋体" w:cs="宋体"/>
          <w:sz w:val="24"/>
          <w:szCs w:val="24"/>
          <w:lang w:val="en-US" w:eastAsia="zh-CN"/>
        </w:rPr>
        <w:t>2016EQZM0000001</w:t>
      </w:r>
    </w:p>
    <w:p w14:paraId="6AB47CC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具体解释为:郑(郑州)</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2016 (年度) - EQ (二七区)一ZM (证明类)</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000001 (案卷顺序号)。</w:t>
      </w:r>
    </w:p>
    <w:p w14:paraId="4A13963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(3)示例3:中原区2017年不动产登记(注销类)档案归档，档案号编写为:郑2017ZYZ</w:t>
      </w:r>
      <w:r>
        <w:rPr>
          <w:rFonts w:hint="eastAsia" w:ascii="宋体" w:hAnsi="宋体" w:eastAsia="宋体" w:cs="宋体"/>
          <w:sz w:val="24"/>
          <w:szCs w:val="24"/>
          <w:lang w:val="en-US" w:eastAsia="zh-CN"/>
        </w:rPr>
        <w:t>X</w:t>
      </w:r>
      <w:r>
        <w:rPr>
          <w:rFonts w:hint="eastAsia" w:ascii="宋体" w:hAnsi="宋体" w:eastAsia="宋体" w:cs="宋体"/>
          <w:sz w:val="24"/>
          <w:szCs w:val="24"/>
        </w:rPr>
        <w:t>0000001。</w:t>
      </w:r>
    </w:p>
    <w:p w14:paraId="6A4C8C4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具体解释为:郑(郑州) -2017 (年度) - ZY (中原区)- </w:t>
      </w:r>
      <w:r>
        <w:rPr>
          <w:rFonts w:hint="eastAsia" w:ascii="宋体" w:hAnsi="宋体" w:eastAsia="宋体" w:cs="宋体"/>
          <w:sz w:val="24"/>
          <w:szCs w:val="24"/>
          <w:lang w:val="en-US" w:eastAsia="zh-CN"/>
        </w:rPr>
        <w:t>Z</w:t>
      </w:r>
      <w:r>
        <w:rPr>
          <w:rFonts w:hint="eastAsia" w:ascii="宋体" w:hAnsi="宋体" w:eastAsia="宋体" w:cs="宋体"/>
          <w:sz w:val="24"/>
          <w:szCs w:val="24"/>
        </w:rPr>
        <w:t>X (注销类) - 0000</w:t>
      </w:r>
      <w:r>
        <w:rPr>
          <w:rFonts w:hint="eastAsia" w:ascii="宋体" w:hAnsi="宋体" w:eastAsia="宋体" w:cs="宋体"/>
          <w:sz w:val="24"/>
          <w:szCs w:val="24"/>
          <w:lang w:val="en-US" w:eastAsia="zh-CN"/>
        </w:rPr>
        <w:t>001</w:t>
      </w:r>
      <w:r>
        <w:rPr>
          <w:rFonts w:hint="eastAsia" w:ascii="宋体" w:hAnsi="宋体" w:eastAsia="宋体" w:cs="宋体"/>
          <w:sz w:val="24"/>
          <w:szCs w:val="24"/>
        </w:rPr>
        <w:t>(案卷顺序号)。</w:t>
      </w:r>
    </w:p>
    <w:p w14:paraId="7260D05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(4)示例4:高新区2015年度不动产登记(协执类)档案归档，档案号编写为</w:t>
      </w:r>
      <w:r>
        <w:rPr>
          <w:rFonts w:hint="eastAsia" w:ascii="宋体" w:hAnsi="宋体" w:eastAsia="宋体" w:cs="宋体"/>
          <w:sz w:val="24"/>
          <w:szCs w:val="24"/>
          <w:lang w:eastAsia="zh-CN"/>
        </w:rPr>
        <w:t>：</w:t>
      </w:r>
      <w:r>
        <w:rPr>
          <w:rFonts w:hint="eastAsia" w:ascii="宋体" w:hAnsi="宋体" w:eastAsia="宋体" w:cs="宋体"/>
          <w:sz w:val="24"/>
          <w:szCs w:val="24"/>
        </w:rPr>
        <w:t>郑2015GXX</w:t>
      </w:r>
      <w:r>
        <w:rPr>
          <w:rFonts w:hint="eastAsia" w:ascii="宋体" w:hAnsi="宋体" w:eastAsia="宋体" w:cs="宋体"/>
          <w:sz w:val="24"/>
          <w:szCs w:val="24"/>
          <w:lang w:val="en-US" w:eastAsia="zh-CN"/>
        </w:rPr>
        <w:t>Z</w:t>
      </w:r>
      <w:r>
        <w:rPr>
          <w:rFonts w:hint="eastAsia" w:ascii="宋体" w:hAnsi="宋体" w:eastAsia="宋体" w:cs="宋体"/>
          <w:sz w:val="24"/>
          <w:szCs w:val="24"/>
        </w:rPr>
        <w:t>0000001</w:t>
      </w:r>
      <w:r>
        <w:rPr>
          <w:rFonts w:hint="eastAsia" w:ascii="宋体" w:hAnsi="宋体" w:eastAsia="宋体" w:cs="宋体"/>
          <w:sz w:val="24"/>
          <w:szCs w:val="24"/>
          <w:lang w:eastAsia="zh-CN"/>
        </w:rPr>
        <w:t>。</w:t>
      </w:r>
    </w:p>
    <w:p w14:paraId="16A8FC5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具体解释为:郑(郑州) - 2015 (年度) - GX (高新区)- XZ (协执类) - 000000</w:t>
      </w:r>
      <w:r>
        <w:rPr>
          <w:rFonts w:hint="eastAsia" w:ascii="宋体" w:hAnsi="宋体" w:eastAsia="宋体" w:cs="宋体"/>
          <w:sz w:val="24"/>
          <w:szCs w:val="24"/>
          <w:lang w:val="en-US" w:eastAsia="zh-CN"/>
        </w:rPr>
        <w:t>1</w:t>
      </w:r>
      <w:r>
        <w:rPr>
          <w:rFonts w:hint="eastAsia" w:ascii="宋体" w:hAnsi="宋体" w:eastAsia="宋体" w:cs="宋体"/>
          <w:sz w:val="24"/>
          <w:szCs w:val="24"/>
        </w:rPr>
        <w:t>&lt;案卷顺序号)。</w:t>
      </w:r>
    </w:p>
    <w:p w14:paraId="47986F28">
      <w:pPr>
        <w:pStyle w:val="14"/>
        <w:keepNext w:val="0"/>
        <w:keepLines w:val="0"/>
        <w:pageBreakBefore w:val="0"/>
        <w:widowControl w:val="0"/>
        <w:kinsoku/>
        <w:wordWrap w:val="0"/>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(5)示例5:郑东新区2016年度不动产登记(变更类)档案归档，档案号编写为:郑2016ZDB</w:t>
      </w:r>
      <w:r>
        <w:rPr>
          <w:rFonts w:hint="eastAsia" w:ascii="宋体" w:hAnsi="宋体" w:eastAsia="宋体" w:cs="宋体"/>
          <w:sz w:val="24"/>
          <w:szCs w:val="24"/>
          <w:lang w:val="en-US" w:eastAsia="zh-CN"/>
        </w:rPr>
        <w:t>G</w:t>
      </w:r>
      <w:r>
        <w:rPr>
          <w:rFonts w:hint="eastAsia" w:ascii="宋体" w:hAnsi="宋体" w:eastAsia="宋体" w:cs="宋体"/>
          <w:sz w:val="24"/>
          <w:szCs w:val="24"/>
        </w:rPr>
        <w:t>0000001</w:t>
      </w:r>
      <w:r>
        <w:rPr>
          <w:rFonts w:hint="eastAsia" w:ascii="宋体" w:hAnsi="宋体" w:eastAsia="宋体" w:cs="宋体"/>
          <w:sz w:val="24"/>
          <w:szCs w:val="24"/>
          <w:lang w:eastAsia="zh-CN"/>
        </w:rPr>
        <w:t>。</w:t>
      </w:r>
    </w:p>
    <w:p w14:paraId="2C5F9C7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具体解释为:郑(郑州) - 2016 (年度) - ZD (郑东新区)-BG (变更类) -000</w:t>
      </w:r>
      <w:r>
        <w:rPr>
          <w:rFonts w:hint="eastAsia" w:ascii="宋体" w:hAnsi="宋体" w:eastAsia="宋体" w:cs="宋体"/>
          <w:sz w:val="24"/>
          <w:szCs w:val="24"/>
          <w:lang w:val="en-US" w:eastAsia="zh-CN"/>
        </w:rPr>
        <w:t>0</w:t>
      </w:r>
      <w:r>
        <w:rPr>
          <w:rFonts w:hint="eastAsia" w:ascii="宋体" w:hAnsi="宋体" w:eastAsia="宋体" w:cs="宋体"/>
          <w:sz w:val="24"/>
          <w:szCs w:val="24"/>
        </w:rPr>
        <w:t>001(案卷顺序号)。</w:t>
      </w:r>
    </w:p>
    <w:p w14:paraId="6BC81FA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(6)示例6:经开区2018年度不动产登记(其他类)档案归档，档案号编写为:郑2018JK</w:t>
      </w:r>
      <w:r>
        <w:rPr>
          <w:rFonts w:hint="eastAsia" w:ascii="宋体" w:hAnsi="宋体" w:eastAsia="宋体" w:cs="宋体"/>
          <w:sz w:val="24"/>
          <w:szCs w:val="24"/>
          <w:lang w:val="en-US" w:eastAsia="zh-CN"/>
        </w:rPr>
        <w:t>Q</w:t>
      </w:r>
      <w:r>
        <w:rPr>
          <w:rFonts w:hint="eastAsia" w:ascii="宋体" w:hAnsi="宋体" w:eastAsia="宋体" w:cs="宋体"/>
          <w:sz w:val="24"/>
          <w:szCs w:val="24"/>
        </w:rPr>
        <w:t>T0000001。</w:t>
      </w:r>
    </w:p>
    <w:p w14:paraId="258B1C7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具体解释为:郑(郑州) - 2018 (年度)一JK (经开区)- Q</w:t>
      </w:r>
      <w:r>
        <w:rPr>
          <w:rFonts w:hint="eastAsia" w:ascii="宋体" w:hAnsi="宋体" w:eastAsia="宋体" w:cs="宋体"/>
          <w:sz w:val="24"/>
          <w:szCs w:val="24"/>
          <w:lang w:val="en-US" w:eastAsia="zh-CN"/>
        </w:rPr>
        <w:t>T</w:t>
      </w:r>
      <w:r>
        <w:rPr>
          <w:rFonts w:hint="eastAsia" w:ascii="宋体" w:hAnsi="宋体" w:eastAsia="宋体" w:cs="宋体"/>
          <w:sz w:val="24"/>
          <w:szCs w:val="24"/>
        </w:rPr>
        <w:t xml:space="preserve"> (其他类)一000</w:t>
      </w:r>
      <w:r>
        <w:rPr>
          <w:rFonts w:hint="eastAsia" w:ascii="宋体" w:hAnsi="宋体" w:eastAsia="宋体" w:cs="宋体"/>
          <w:sz w:val="24"/>
          <w:szCs w:val="24"/>
          <w:lang w:val="en-US" w:eastAsia="zh-CN"/>
        </w:rPr>
        <w:t>0001</w:t>
      </w:r>
      <w:r>
        <w:rPr>
          <w:rFonts w:hint="eastAsia" w:ascii="宋体" w:hAnsi="宋体" w:eastAsia="宋体" w:cs="宋体"/>
          <w:sz w:val="24"/>
          <w:szCs w:val="24"/>
        </w:rPr>
        <w:t>(案卷顺序号)。</w:t>
      </w:r>
    </w:p>
    <w:p w14:paraId="4747ED2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2.4卷内材料排序</w:t>
      </w:r>
    </w:p>
    <w:p w14:paraId="78CB569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卷内材料立按下列顺序排列</w:t>
      </w:r>
      <w:r>
        <w:rPr>
          <w:rFonts w:hint="eastAsia" w:ascii="宋体" w:hAnsi="宋体" w:eastAsia="宋体" w:cs="宋体"/>
          <w:sz w:val="24"/>
          <w:szCs w:val="24"/>
          <w:lang w:eastAsia="zh-CN"/>
        </w:rPr>
        <w:t>：</w:t>
      </w:r>
    </w:p>
    <w:p w14:paraId="348F49B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(1)目录</w:t>
      </w:r>
      <w:r>
        <w:rPr>
          <w:rFonts w:hint="eastAsia" w:ascii="宋体" w:hAnsi="宋体" w:eastAsia="宋体" w:cs="宋体"/>
          <w:sz w:val="24"/>
          <w:szCs w:val="24"/>
          <w:lang w:eastAsia="zh-CN"/>
        </w:rPr>
        <w:t>；</w:t>
      </w:r>
    </w:p>
    <w:p w14:paraId="33C7900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(2)结论性审核材料</w:t>
      </w:r>
      <w:r>
        <w:rPr>
          <w:rFonts w:hint="eastAsia" w:ascii="宋体" w:hAnsi="宋体" w:eastAsia="宋体" w:cs="宋体"/>
          <w:sz w:val="24"/>
          <w:szCs w:val="24"/>
          <w:lang w:eastAsia="zh-CN"/>
        </w:rPr>
        <w:t>；</w:t>
      </w:r>
    </w:p>
    <w:p w14:paraId="6E9A228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(3)过程性审核材料</w:t>
      </w:r>
      <w:r>
        <w:rPr>
          <w:rFonts w:hint="eastAsia" w:ascii="宋体" w:hAnsi="宋体" w:eastAsia="宋体" w:cs="宋体"/>
          <w:sz w:val="24"/>
          <w:szCs w:val="24"/>
          <w:lang w:eastAsia="zh-CN"/>
        </w:rPr>
        <w:t>；</w:t>
      </w:r>
    </w:p>
    <w:p w14:paraId="1EC05FF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(4)当事人提供的申请材料</w:t>
      </w:r>
      <w:r>
        <w:rPr>
          <w:rFonts w:hint="eastAsia" w:ascii="宋体" w:hAnsi="宋体" w:eastAsia="宋体" w:cs="宋体"/>
          <w:sz w:val="24"/>
          <w:szCs w:val="24"/>
          <w:lang w:eastAsia="zh-CN"/>
        </w:rPr>
        <w:t>；</w:t>
      </w:r>
    </w:p>
    <w:p w14:paraId="0330D7F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(5)图纸</w:t>
      </w:r>
      <w:r>
        <w:rPr>
          <w:rFonts w:hint="eastAsia" w:ascii="宋体" w:hAnsi="宋体" w:eastAsia="宋体" w:cs="宋体"/>
          <w:sz w:val="24"/>
          <w:szCs w:val="24"/>
          <w:lang w:eastAsia="zh-CN"/>
        </w:rPr>
        <w:t>；</w:t>
      </w:r>
    </w:p>
    <w:p w14:paraId="057F3FE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(6)其他</w:t>
      </w:r>
      <w:r>
        <w:rPr>
          <w:rFonts w:hint="eastAsia" w:ascii="宋体" w:hAnsi="宋体" w:eastAsia="宋体" w:cs="宋体"/>
          <w:sz w:val="24"/>
          <w:szCs w:val="24"/>
          <w:lang w:eastAsia="zh-CN"/>
        </w:rPr>
        <w:t>；</w:t>
      </w:r>
    </w:p>
    <w:p w14:paraId="10538B2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(7)备考表。</w:t>
      </w:r>
    </w:p>
    <w:p w14:paraId="750216E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2.5卷内文件页号的编写</w:t>
      </w:r>
    </w:p>
    <w:p w14:paraId="65C288B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每一页材料编写</w:t>
      </w:r>
      <w:r>
        <w:rPr>
          <w:rFonts w:hint="eastAsia" w:ascii="宋体" w:hAnsi="宋体" w:eastAsia="宋体" w:cs="宋体"/>
          <w:sz w:val="24"/>
          <w:szCs w:val="24"/>
          <w:lang w:eastAsia="zh-CN"/>
        </w:rPr>
        <w:t>一</w:t>
      </w:r>
      <w:r>
        <w:rPr>
          <w:rFonts w:hint="eastAsia" w:ascii="宋体" w:hAnsi="宋体" w:eastAsia="宋体" w:cs="宋体"/>
          <w:sz w:val="24"/>
          <w:szCs w:val="24"/>
        </w:rPr>
        <w:t>个页号。单面书写的材料在右上角编写页号</w:t>
      </w:r>
      <w:r>
        <w:rPr>
          <w:rFonts w:hint="eastAsia" w:ascii="宋体" w:hAnsi="宋体" w:eastAsia="宋体" w:cs="宋体"/>
          <w:sz w:val="24"/>
          <w:szCs w:val="24"/>
          <w:lang w:eastAsia="zh-CN"/>
        </w:rPr>
        <w:t>；</w:t>
      </w:r>
      <w:r>
        <w:rPr>
          <w:rFonts w:hint="eastAsia" w:ascii="宋体" w:hAnsi="宋体" w:eastAsia="宋体" w:cs="宋体"/>
          <w:sz w:val="24"/>
          <w:szCs w:val="24"/>
        </w:rPr>
        <w:t>双面书写的材料，正面在右上角编写、背面在左，上角编写页号。图表、照片可编在与此相应位置的空白处或其背面</w:t>
      </w:r>
      <w:r>
        <w:rPr>
          <w:rFonts w:hint="eastAsia" w:ascii="宋体" w:hAnsi="宋体" w:eastAsia="宋体" w:cs="宋体"/>
          <w:sz w:val="24"/>
          <w:szCs w:val="24"/>
          <w:lang w:eastAsia="zh-CN"/>
        </w:rPr>
        <w:t>。</w:t>
      </w:r>
    </w:p>
    <w:p w14:paraId="42449E0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编写页号一律使用阿拉伯数字，从“1”开始。</w:t>
      </w:r>
    </w:p>
    <w:p w14:paraId="464F8BA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编写页号后要仔细检查，发现问题应及时采取补救措施。重号</w:t>
      </w:r>
      <w:r>
        <w:rPr>
          <w:rFonts w:hint="eastAsia" w:ascii="宋体" w:hAnsi="宋体" w:eastAsia="宋体" w:cs="宋体"/>
          <w:sz w:val="24"/>
          <w:szCs w:val="24"/>
          <w:lang w:eastAsia="zh-CN"/>
        </w:rPr>
        <w:t>：</w:t>
      </w:r>
      <w:r>
        <w:rPr>
          <w:rFonts w:hint="eastAsia" w:ascii="宋体" w:hAnsi="宋体" w:eastAsia="宋体" w:cs="宋体"/>
          <w:sz w:val="24"/>
          <w:szCs w:val="24"/>
        </w:rPr>
        <w:t>将重号改为支号式。如6号为重号，可改为6-1和6-2，在备考表内注明第6页共两页。漏号</w:t>
      </w:r>
      <w:r>
        <w:rPr>
          <w:rFonts w:hint="eastAsia" w:ascii="宋体" w:hAnsi="宋体" w:eastAsia="宋体" w:cs="宋体"/>
          <w:sz w:val="24"/>
          <w:szCs w:val="24"/>
          <w:lang w:eastAsia="zh-CN"/>
        </w:rPr>
        <w:t>：</w:t>
      </w:r>
      <w:r>
        <w:rPr>
          <w:rFonts w:hint="eastAsia" w:ascii="宋体" w:hAnsi="宋体" w:eastAsia="宋体" w:cs="宋体"/>
          <w:sz w:val="24"/>
          <w:szCs w:val="24"/>
        </w:rPr>
        <w:t>采用分号式。如6页后应是7而编写成8,可将第6页改成6-7,在备考表中注明6-7页共1页。错号:将错号划掉，重新编上正确的页号，并在各考表中加以注明。</w:t>
      </w:r>
    </w:p>
    <w:p w14:paraId="244A772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4、卷内目录、备考表、封皮不编页号。</w:t>
      </w:r>
    </w:p>
    <w:p w14:paraId="2CB95DF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2.6卷内目录的编写</w:t>
      </w:r>
    </w:p>
    <w:p w14:paraId="523AB4C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卷内目录的编写规则</w:t>
      </w:r>
    </w:p>
    <w:p w14:paraId="05A94BD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、档案号:由档案管理系统按照上述的规则自动生成。</w:t>
      </w:r>
    </w:p>
    <w:p w14:paraId="0E27018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2、序号:按卷内材料的排列顺序，每份材料应编写一个顺序号。不重复，不遗漏。</w:t>
      </w:r>
    </w:p>
    <w:p w14:paraId="04EF532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材料名称:每行只允许填写一-份材料的具体名称。如实反映材料的名称。填写该材料自身的标题，不得随意更改和省略。如材料没有标题，应根据材料内容准确、简练地拟写一个标题。材料题名栏内不得填“其他”“法律法规规定的其他材料”等兜底条目。</w:t>
      </w:r>
    </w:p>
    <w:p w14:paraId="7AE1A7F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4、页次:填写该材料所在的起始页，最后页应填起止页号。</w:t>
      </w:r>
    </w:p>
    <w:p w14:paraId="315B613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5、备注:应填写需要注明的内容。</w:t>
      </w:r>
    </w:p>
    <w:p w14:paraId="71275CF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6、用纸规格:参照文书档案国家标准，长297毫米，宽210毫米，使用A4纸。</w:t>
      </w:r>
    </w:p>
    <w:p w14:paraId="4B407C4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2.7备考表的填写</w:t>
      </w:r>
    </w:p>
    <w:p w14:paraId="4B93F3D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备考表的编写规则</w:t>
      </w:r>
    </w:p>
    <w:p w14:paraId="7021A37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、备考表用于保护材料，介绍和说明卷内材料变化情况。</w:t>
      </w:r>
    </w:p>
    <w:p w14:paraId="6038584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2、备考表每卷一份，如暂时没有情况填写，也要放于卷末，以供日后注记时使用。</w:t>
      </w:r>
    </w:p>
    <w:p w14:paraId="2AF0349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3、规格:参照文书档案国家标准，长297毫米，宽210毫米，使用150克无酸牛皮纸制作。</w:t>
      </w:r>
    </w:p>
    <w:p w14:paraId="1BE017E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4、立卷人:应记教为档案管理系统中创建环节的工作人员。</w:t>
      </w:r>
    </w:p>
    <w:p w14:paraId="6EE40BE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5、审核人:应记载为档案管理系统中审核环节的工作人员。</w:t>
      </w:r>
    </w:p>
    <w:p w14:paraId="2A268B1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6、立卷时间:应记载为档案管理系统中发布节点的时间。</w:t>
      </w:r>
    </w:p>
    <w:p w14:paraId="6F1D85B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7、卷内材料说明:需要说明的情况。</w:t>
      </w:r>
    </w:p>
    <w:p w14:paraId="637F798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2.8封皮和档案盒的标准</w:t>
      </w:r>
    </w:p>
    <w:p w14:paraId="67A9AF3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2.8.1封皮的标准</w:t>
      </w:r>
    </w:p>
    <w:p w14:paraId="460B3AD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案卷封皮的规格、样式统规定如下</w:t>
      </w:r>
      <w:r>
        <w:rPr>
          <w:rFonts w:hint="eastAsia" w:ascii="宋体" w:hAnsi="宋体" w:eastAsia="宋体" w:cs="宋体"/>
          <w:sz w:val="24"/>
          <w:szCs w:val="24"/>
          <w:lang w:eastAsia="zh-CN"/>
        </w:rPr>
        <w:t>：</w:t>
      </w:r>
    </w:p>
    <w:p w14:paraId="6F306E4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1、案卷封皮的设计及表面尺寸、字体型号、文字排列、设计的规格和处置都应得体，整体划一</w:t>
      </w:r>
      <w:r>
        <w:rPr>
          <w:rFonts w:hint="eastAsia" w:ascii="宋体" w:hAnsi="宋体" w:eastAsia="宋体" w:cs="宋体"/>
          <w:sz w:val="24"/>
          <w:szCs w:val="24"/>
          <w:lang w:eastAsia="zh-CN"/>
        </w:rPr>
        <w:t>；</w:t>
      </w:r>
    </w:p>
    <w:p w14:paraId="10D8038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2、书写-律自左而右，横写横排，左侧装订，装订线严禁写字、印字</w:t>
      </w:r>
      <w:r>
        <w:rPr>
          <w:rFonts w:hint="eastAsia" w:ascii="宋体" w:hAnsi="宋体" w:eastAsia="宋体" w:cs="宋体"/>
          <w:sz w:val="24"/>
          <w:szCs w:val="24"/>
          <w:lang w:eastAsia="zh-CN"/>
        </w:rPr>
        <w:t>；</w:t>
      </w:r>
    </w:p>
    <w:p w14:paraId="38450CD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3、用纸规格:参照文书档案国家标准，长297毫米，宽210毫米，使用150克无酸牛皮纸制作。</w:t>
      </w:r>
    </w:p>
    <w:p w14:paraId="7433F4F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4、封皮项目包括:立档单位名称、权利人名称、坐落、保管期限、件数和总页数、档案号。</w:t>
      </w:r>
    </w:p>
    <w:p w14:paraId="05FE1D4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2.8.2档案盒的标准</w:t>
      </w:r>
    </w:p>
    <w:p w14:paraId="336ED81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档案盒的规格、样式统一格式如下</w:t>
      </w:r>
      <w:r>
        <w:rPr>
          <w:rFonts w:hint="eastAsia" w:ascii="宋体" w:hAnsi="宋体" w:eastAsia="宋体" w:cs="宋体"/>
          <w:sz w:val="24"/>
          <w:szCs w:val="24"/>
          <w:lang w:eastAsia="zh-CN"/>
        </w:rPr>
        <w:t>：</w:t>
      </w:r>
    </w:p>
    <w:p w14:paraId="0076724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1、档案盒的尺寸为:封面320mmX230mm (长X宽)，盒脊厚度可以根据需要设置为20mm、40m、60mm 等规格，使用250克无酸纸制作。</w:t>
      </w:r>
    </w:p>
    <w:p w14:paraId="364059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2、档案盒的封面项目包括:立档单位名称、权利人名称、坐落和档案号。</w:t>
      </w:r>
    </w:p>
    <w:p w14:paraId="0679055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2.8.3档案盒和封皮由中标人提供，其费用应包含在报价中。</w:t>
      </w:r>
    </w:p>
    <w:p w14:paraId="5FE91F2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2.9封皮和档案盒项目的填写</w:t>
      </w:r>
    </w:p>
    <w:p w14:paraId="688F5D7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2.9.1填写要求</w:t>
      </w:r>
    </w:p>
    <w:p w14:paraId="79EE373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封皮的填写采用计算机打印，档案盆的填写可采用计算机打印、手工填写。手工填写时应使用碳素墨水，字体工整，不得涂改。</w:t>
      </w:r>
    </w:p>
    <w:p w14:paraId="37F336B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2.9.2封皮填写</w:t>
      </w:r>
    </w:p>
    <w:p w14:paraId="21F500A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1、立档单位名称</w:t>
      </w:r>
      <w:r>
        <w:rPr>
          <w:rFonts w:hint="eastAsia" w:ascii="宋体" w:hAnsi="宋体" w:eastAsia="宋体" w:cs="宋体"/>
          <w:sz w:val="24"/>
          <w:szCs w:val="24"/>
          <w:lang w:eastAsia="zh-CN"/>
        </w:rPr>
        <w:t>：</w:t>
      </w:r>
      <w:r>
        <w:rPr>
          <w:rFonts w:hint="eastAsia" w:ascii="宋体" w:hAnsi="宋体" w:eastAsia="宋体" w:cs="宋体"/>
          <w:sz w:val="24"/>
          <w:szCs w:val="24"/>
        </w:rPr>
        <w:t>填写中心名全称</w:t>
      </w:r>
      <w:r>
        <w:rPr>
          <w:rFonts w:hint="eastAsia" w:ascii="宋体" w:hAnsi="宋体" w:eastAsia="宋体" w:cs="宋体"/>
          <w:sz w:val="24"/>
          <w:szCs w:val="24"/>
          <w:lang w:eastAsia="zh-CN"/>
        </w:rPr>
        <w:t>；</w:t>
      </w:r>
    </w:p>
    <w:p w14:paraId="1492BD0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2、权利人:以不动产要登记簿记载的信息为准</w:t>
      </w:r>
      <w:r>
        <w:rPr>
          <w:rFonts w:hint="eastAsia" w:ascii="宋体" w:hAnsi="宋体" w:eastAsia="宋体" w:cs="宋体"/>
          <w:sz w:val="24"/>
          <w:szCs w:val="24"/>
          <w:lang w:eastAsia="zh-CN"/>
        </w:rPr>
        <w:t>；</w:t>
      </w:r>
    </w:p>
    <w:p w14:paraId="2C1D9B7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3、坐落:以不动产登记簿记载的信息为准</w:t>
      </w:r>
      <w:r>
        <w:rPr>
          <w:rFonts w:hint="eastAsia" w:ascii="宋体" w:hAnsi="宋体" w:eastAsia="宋体" w:cs="宋体"/>
          <w:sz w:val="24"/>
          <w:szCs w:val="24"/>
          <w:lang w:eastAsia="zh-CN"/>
        </w:rPr>
        <w:t>；</w:t>
      </w:r>
    </w:p>
    <w:p w14:paraId="6207061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4、保管期限:</w:t>
      </w:r>
      <w:r>
        <w:rPr>
          <w:rFonts w:hint="eastAsia" w:ascii="宋体" w:hAnsi="宋体" w:eastAsia="宋体" w:cs="宋体"/>
          <w:sz w:val="24"/>
          <w:szCs w:val="24"/>
          <w:lang w:eastAsia="zh-CN"/>
        </w:rPr>
        <w:t>一</w:t>
      </w:r>
      <w:r>
        <w:rPr>
          <w:rFonts w:hint="eastAsia" w:ascii="宋体" w:hAnsi="宋体" w:eastAsia="宋体" w:cs="宋体"/>
          <w:sz w:val="24"/>
          <w:szCs w:val="24"/>
        </w:rPr>
        <w:t>般为临时、长期和永久三种形式:</w:t>
      </w:r>
    </w:p>
    <w:p w14:paraId="2F1B0DD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5、件数和总页数以档案实际材料数量为准</w:t>
      </w:r>
      <w:r>
        <w:rPr>
          <w:rFonts w:hint="eastAsia" w:ascii="宋体" w:hAnsi="宋体" w:eastAsia="宋体" w:cs="宋体"/>
          <w:sz w:val="24"/>
          <w:szCs w:val="24"/>
          <w:lang w:eastAsia="zh-CN"/>
        </w:rPr>
        <w:t>；</w:t>
      </w:r>
    </w:p>
    <w:p w14:paraId="4682221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6、档案号:以档案管理系统生成的信息为准。</w:t>
      </w:r>
    </w:p>
    <w:p w14:paraId="771A08B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2.9.3档案盒填写</w:t>
      </w:r>
    </w:p>
    <w:p w14:paraId="665010E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1、立档单位名称:填写中心名称全称</w:t>
      </w:r>
      <w:r>
        <w:rPr>
          <w:rFonts w:hint="eastAsia" w:ascii="宋体" w:hAnsi="宋体" w:eastAsia="宋体" w:cs="宋体"/>
          <w:sz w:val="24"/>
          <w:szCs w:val="24"/>
          <w:lang w:eastAsia="zh-CN"/>
        </w:rPr>
        <w:t>；</w:t>
      </w:r>
    </w:p>
    <w:p w14:paraId="2995763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2、权利人:以不动产登记簿记载的信息为准</w:t>
      </w:r>
      <w:r>
        <w:rPr>
          <w:rFonts w:hint="eastAsia" w:ascii="宋体" w:hAnsi="宋体" w:eastAsia="宋体" w:cs="宋体"/>
          <w:sz w:val="24"/>
          <w:szCs w:val="24"/>
          <w:lang w:eastAsia="zh-CN"/>
        </w:rPr>
        <w:t>；</w:t>
      </w:r>
    </w:p>
    <w:p w14:paraId="352596B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3、坐落:以不动产登记簿记载的信息为准</w:t>
      </w:r>
      <w:r>
        <w:rPr>
          <w:rFonts w:hint="eastAsia" w:ascii="宋体" w:hAnsi="宋体" w:eastAsia="宋体" w:cs="宋体"/>
          <w:sz w:val="24"/>
          <w:szCs w:val="24"/>
          <w:lang w:eastAsia="zh-CN"/>
        </w:rPr>
        <w:t>；</w:t>
      </w:r>
    </w:p>
    <w:p w14:paraId="45D4EC4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4、档案号:根据内置已装订档案实际情况填写</w:t>
      </w:r>
      <w:r>
        <w:rPr>
          <w:rFonts w:hint="eastAsia" w:ascii="宋体" w:hAnsi="宋体" w:eastAsia="宋体" w:cs="宋体"/>
          <w:sz w:val="24"/>
          <w:szCs w:val="24"/>
          <w:lang w:eastAsia="zh-CN"/>
        </w:rPr>
        <w:t>。</w:t>
      </w:r>
    </w:p>
    <w:p w14:paraId="49A3403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2.9.4盒脊填写</w:t>
      </w:r>
    </w:p>
    <w:p w14:paraId="26A7851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1、可以通过打印、手工填写或粘贴的形式标注档案号</w:t>
      </w:r>
      <w:r>
        <w:rPr>
          <w:rFonts w:hint="eastAsia" w:ascii="宋体" w:hAnsi="宋体" w:eastAsia="宋体" w:cs="宋体"/>
          <w:sz w:val="24"/>
          <w:szCs w:val="24"/>
          <w:lang w:eastAsia="zh-CN"/>
        </w:rPr>
        <w:t>；</w:t>
      </w:r>
    </w:p>
    <w:p w14:paraId="053C29C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2、盒内只装卷的填写该卷的档案号，装N卷的填写1号档案号</w:t>
      </w:r>
      <w:r>
        <w:rPr>
          <w:rFonts w:hint="eastAsia" w:ascii="宋体" w:hAnsi="宋体" w:eastAsia="宋体" w:cs="宋体"/>
          <w:sz w:val="24"/>
          <w:szCs w:val="24"/>
          <w:lang w:val="en-US" w:eastAsia="zh-CN"/>
        </w:rPr>
        <w:t>-</w:t>
      </w:r>
      <w:r>
        <w:rPr>
          <w:rFonts w:hint="eastAsia" w:ascii="宋体" w:hAnsi="宋体" w:eastAsia="宋体" w:cs="宋体"/>
          <w:sz w:val="24"/>
          <w:szCs w:val="24"/>
        </w:rPr>
        <w:t>N号档案号。</w:t>
      </w:r>
    </w:p>
    <w:p w14:paraId="7BD5D98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2.10不动产登记档案的装订</w:t>
      </w:r>
    </w:p>
    <w:p w14:paraId="0DE7239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2.10.1装订前准备工作</w:t>
      </w:r>
    </w:p>
    <w:p w14:paraId="56A0D3C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1、材料上的金属物全部剔除干净，操作时不得损坏材料，不得对材料进行剪裁</w:t>
      </w:r>
      <w:r>
        <w:rPr>
          <w:rFonts w:hint="eastAsia" w:ascii="宋体" w:hAnsi="宋体" w:eastAsia="宋体" w:cs="宋体"/>
          <w:sz w:val="24"/>
          <w:szCs w:val="24"/>
          <w:lang w:eastAsia="zh-CN"/>
        </w:rPr>
        <w:t>；</w:t>
      </w:r>
    </w:p>
    <w:p w14:paraId="2140D6D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2、破损的或幅面过小的材料应用A4白衬纸托裱，1页衬纸应托裱1份材料，不得托裱2份以上材料</w:t>
      </w:r>
      <w:r>
        <w:rPr>
          <w:rFonts w:hint="eastAsia" w:ascii="宋体" w:hAnsi="宋体" w:eastAsia="宋体" w:cs="宋体"/>
          <w:sz w:val="24"/>
          <w:szCs w:val="24"/>
          <w:lang w:eastAsia="zh-CN"/>
        </w:rPr>
        <w:t>；</w:t>
      </w:r>
      <w:r>
        <w:rPr>
          <w:rFonts w:hint="eastAsia" w:ascii="宋体" w:hAnsi="宋体" w:eastAsia="宋体" w:cs="宋体"/>
          <w:sz w:val="24"/>
          <w:szCs w:val="24"/>
        </w:rPr>
        <w:t>字迹扩散的应复制并与原件一起存档，原件在前，复印件在后</w:t>
      </w:r>
      <w:r>
        <w:rPr>
          <w:rFonts w:hint="eastAsia" w:ascii="宋体" w:hAnsi="宋体" w:eastAsia="宋体" w:cs="宋体"/>
          <w:sz w:val="24"/>
          <w:szCs w:val="24"/>
          <w:lang w:eastAsia="zh-CN"/>
        </w:rPr>
        <w:t>；</w:t>
      </w:r>
    </w:p>
    <w:p w14:paraId="6016BBF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3、卷内材料大于A4幅面的，应按A4大小折叠整齐，并预留出装订边际，便于装订和后期翻阅</w:t>
      </w:r>
      <w:r>
        <w:rPr>
          <w:rFonts w:hint="eastAsia" w:ascii="宋体" w:hAnsi="宋体" w:eastAsia="宋体" w:cs="宋体"/>
          <w:sz w:val="24"/>
          <w:szCs w:val="24"/>
          <w:lang w:eastAsia="zh-CN"/>
        </w:rPr>
        <w:t>；</w:t>
      </w:r>
    </w:p>
    <w:p w14:paraId="005E720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4、凡是遇有火漆、铅封、蜡封等装订成册的材料以及公证书等法律证明文件，不要改变原装订方式。</w:t>
      </w:r>
    </w:p>
    <w:p w14:paraId="32D16F6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2.10.2不动产登记档案的装订</w:t>
      </w:r>
    </w:p>
    <w:p w14:paraId="1571281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1、卷内材料应向左下角对齐。装订孔中心线距材料左边际应为12.5mm；</w:t>
      </w:r>
    </w:p>
    <w:p w14:paraId="67050A3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2、根据工作需要，可以采用三孔一线法(材料较少可以采用二孔一线法)、热熔机装订法、缝纫机缝边装订法等形式。在材料左侧装订、孔间距7厘米；</w:t>
      </w:r>
    </w:p>
    <w:p w14:paraId="51A0711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3、大型图纸折叠后过厚的，应在装订线位置加入垫片保持其平整；</w:t>
      </w:r>
    </w:p>
    <w:p w14:paraId="15153FD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4、卷内材料与封皮装订在一起，做到整齐美观，不压字、不掉页、不妨碍阅读；</w:t>
      </w:r>
    </w:p>
    <w:p w14:paraId="144026E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5、图纸数量较多的，可将图纸单独立卷；</w:t>
      </w:r>
    </w:p>
    <w:p w14:paraId="7473859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6、涉及到房产证书和不动产证书的，可以将最外侧硬纸皮去掉。</w:t>
      </w:r>
    </w:p>
    <w:p w14:paraId="51D05F8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2.11不动产登记档案的装盒</w:t>
      </w:r>
    </w:p>
    <w:p w14:paraId="3256BC3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1、档案盒内可只装一个登记档案，也可将多个关联档案号的登记档案装一个盒，根据登记档案数量的多少选择适当厚度的档案盒，盒内要留出一定的富余量；</w:t>
      </w:r>
    </w:p>
    <w:p w14:paraId="7D23F86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2、一份登记业务对应的档案材料多，一盒不能全部装下，可以装入另一个档案盒，做好关联性标注，依次排列。</w:t>
      </w:r>
    </w:p>
    <w:p w14:paraId="09AE895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2.12不动产登记档案的入库和上架</w:t>
      </w:r>
    </w:p>
    <w:p w14:paraId="79D64D8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1、装订后的档案，采用密集架的形式存放，按照档案号的流水号从左到右，从下到上的方法存放。</w:t>
      </w:r>
    </w:p>
    <w:p w14:paraId="2C28FB2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2、密集架侧面应标明内存档案的起止号，每层应标注本层的起止号。</w:t>
      </w:r>
    </w:p>
    <w:p w14:paraId="4C76411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3、电子档案管理</w:t>
      </w:r>
    </w:p>
    <w:p w14:paraId="6B4326E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3.1一般规定</w:t>
      </w:r>
    </w:p>
    <w:p w14:paraId="334F27E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1、为加强对本市不动产登记电子档案的归档与管理，保障不动产登记电子档案的安全和有效利用，依据于国家标准《电子文件归档与管理规范》(GB/T18894- 2002)。</w:t>
      </w:r>
    </w:p>
    <w:p w14:paraId="736DE8B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2、不动产登记电子档案是指在不动产登记过程中行成的具有参考和利用价值并作为档案保存的电子材料。包括电子档案目录、电子登记簿以及纸质档案的数字化加工处理成果。</w:t>
      </w:r>
    </w:p>
    <w:p w14:paraId="2B88723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3、各单位档案管理机构负责电档案的管理、利用及涉密电子档案的保密监督管理，协助信息化部门为电子档案管理提供信息化支持。</w:t>
      </w:r>
    </w:p>
    <w:p w14:paraId="288FB54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4、电子登记簿应按照不动产登记基本单元建立，录入各类属性数据，形成登记簿数据库，并与电子档案目录形成关联。</w:t>
      </w:r>
    </w:p>
    <w:p w14:paraId="2B38788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3.2数字化处理流程</w:t>
      </w:r>
    </w:p>
    <w:p w14:paraId="117E28F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数字化处理基本流程应包括案卷整理、数据关联、档案扫描、图像处理、图像上传、数据验收、数据备份与异地保存。</w:t>
      </w:r>
    </w:p>
    <w:p w14:paraId="3983C91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数字化处理过程中应加强纸质档案数字化各环节的安全保密管理，确保档案原件和数字化档案信息的安全，同时纸质档案数字化的各个环节均应进行详细的登记，并及时整理、汇总，装订成册，在数字化工作完成的同时建立起完整、规范记录。</w:t>
      </w:r>
    </w:p>
    <w:p w14:paraId="381BEE3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3.3数据化处理要求</w:t>
      </w:r>
    </w:p>
    <w:p w14:paraId="577928B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3.3.1扫描处理方式</w:t>
      </w:r>
    </w:p>
    <w:p w14:paraId="7EAA1AB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1、纸张状况好的档案材料可通过采用高速扫描方式以提高工作效率。</w:t>
      </w:r>
    </w:p>
    <w:p w14:paraId="5C1A6F7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2、纸张状况较差，以及过薄、过软或超厚的档案，宜采用平板扫描方式。</w:t>
      </w:r>
    </w:p>
    <w:p w14:paraId="3618529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3、不适合拆卷、折叠页或大幅面的档案材料建议使用高拍仪或大幅面扫描仪的方式，也可采用小幅面扫描后的图像拼接方式处理。</w:t>
      </w:r>
    </w:p>
    <w:p w14:paraId="46BC785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3.3.2色彩和分分辨率的选择</w:t>
      </w:r>
    </w:p>
    <w:p w14:paraId="679C0E6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1、默认采用彩色模式进行扫描，对各种村料保持展有的色影。</w:t>
      </w:r>
    </w:p>
    <w:p w14:paraId="458B852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2、扫描分辨率参数大小的选择，原则上以扫描后的图像清晰、完整、不影响图像的利用效果为准。</w:t>
      </w:r>
    </w:p>
    <w:p w14:paraId="6FAC727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3、采用彩色模式对档案进行扫描时，其分辩率宜进择150dpi.特殊情况下，如文字偏小、密集、清晰度较差等可可适当提高分辨率。</w:t>
      </w:r>
    </w:p>
    <w:p w14:paraId="5322BFB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3.3.3数字化图像处理要求</w:t>
      </w:r>
    </w:p>
    <w:p w14:paraId="72F13F7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1、图像纠偏</w:t>
      </w:r>
    </w:p>
    <w:p w14:paraId="702CC72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采用自动或手动纠偏功能，调整图像角度。图像偏斜度不超过2度，对方向不正确的图像应进行旋转还原，以符合阅读习惯。</w:t>
      </w:r>
    </w:p>
    <w:p w14:paraId="47D906C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2、图像去污</w:t>
      </w:r>
    </w:p>
    <w:p w14:paraId="0AD409F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对图像页面中出现的影响图像质量的杂质，如黑点、黑线、照框、黑边等应进行去污处理。处理过程中应遵循保持档案原貌的原则。</w:t>
      </w:r>
    </w:p>
    <w:p w14:paraId="7F29DB7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3、图像拼接对大幅面档案进行分区扫描形成的多幅图像，应进行拼接处理，合并为一个完整的图像，以保证档案数字化图像的整体性。</w:t>
      </w:r>
    </w:p>
    <w:p w14:paraId="317B731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4、采用彩色模式扫描的图像应进行裁边处理，去除多余的白边，以有效缩小图像材料的容量，节省存储空间。</w:t>
      </w:r>
    </w:p>
    <w:p w14:paraId="61D2399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3.3.4存储格式</w:t>
      </w:r>
    </w:p>
    <w:p w14:paraId="196A530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1、一般宜采用JPEG图片格式存储，确保需扫描的每页材料对应一张影像图片。</w:t>
      </w:r>
    </w:p>
    <w:p w14:paraId="5822D8F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2、存储时的压缩率的选择，应以保证扫描的图像清晰可读，为前提，尽量减小存储容量为准则。</w:t>
      </w:r>
    </w:p>
    <w:p w14:paraId="798DF2F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3、图像材料的命名应确保其唯一性，并应与电子档案目录形成对应。</w:t>
      </w:r>
    </w:p>
    <w:p w14:paraId="3B300D8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3.4数字化成果汇总</w:t>
      </w:r>
    </w:p>
    <w:p w14:paraId="0B762E6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字化成果汇总应当符合下列规定:不动产登记档案数字化加工过程中形成的目录数据库与图像材料，应通过网络及时加载到数据服务器端汇总、验收。并实现目录数据对相关联的数字图像的自动搜索、数字图像的排列顺序应与物理档案相符合。</w:t>
      </w:r>
    </w:p>
    <w:p w14:paraId="543931C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3.5电子档案数据验收</w:t>
      </w:r>
    </w:p>
    <w:p w14:paraId="5388A15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1、电子档案目录与电子登记簿录入质量，对录入的目录数据和登记簿数据应进行抽检，抽检率不得低于25%，抽检错误率不得高于1%。</w:t>
      </w:r>
    </w:p>
    <w:p w14:paraId="7587AF4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2、对纸质材料扫描后形成的图像材料应进行清晰度、污渍、黑边、偏斜等问题的控制，以达到要求的图像质量。保证扫描后的数字图像清晰,便于清楚阅读，适应于各种纸张和手写、印刷字的情况。</w:t>
      </w:r>
    </w:p>
    <w:p w14:paraId="516B6F8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3.6电子档案备份和保存</w:t>
      </w:r>
    </w:p>
    <w:p w14:paraId="104792B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3.6.1备份范围</w:t>
      </w:r>
    </w:p>
    <w:p w14:paraId="40AD9E5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电子档案目录、电子登记簿以及纸质档案的数字化加工处理成果均应进行备份。</w:t>
      </w:r>
    </w:p>
    <w:p w14:paraId="187D539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3.6.2备份方式</w:t>
      </w:r>
    </w:p>
    <w:p w14:paraId="0101654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为保证不动产登记档案数据的安全性，备份载体的选择性也应多样化，应做好在线增量备份、定时完全备份以及异地容灾体系。</w:t>
      </w:r>
    </w:p>
    <w:p w14:paraId="4368B4A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1、在线增量备份</w:t>
      </w:r>
    </w:p>
    <w:p w14:paraId="2371D57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至少每天一次做好增量数据和材料备份，也可根据自身的设备和资金情况，制定更为严谨的备份策略。</w:t>
      </w:r>
    </w:p>
    <w:p w14:paraId="560E891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2、定时完全备份</w:t>
      </w:r>
    </w:p>
    <w:p w14:paraId="3506199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应每周一次定时做好完全备份，并根据自身条件，建立至少每年一次的离线存放制度。存放地点除要满足防火、防盗、防高温、防潮、防光、防尘、防污染、防有害气体和防有害生物的要求，还应采用专用的防磁柜存放。</w:t>
      </w:r>
    </w:p>
    <w:p w14:paraId="511C524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异地容灾体系建立异地容灾体系，应对可能的灾害事故。异地容灾保存的数据存放地点至少保证与源数据存放地点间隔距离不得小于20KM。数据与灾备机房的设计应符合现行国家标准《电子信息系统机房设计规范》GB50174的规定。</w:t>
      </w:r>
    </w:p>
    <w:p w14:paraId="05C9456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4、备份数据检验备份数据应定期进行检验。检验内容主要包括备份数据能否打开、数据信息是否完整、材料数量是否准确等。</w:t>
      </w:r>
    </w:p>
    <w:p w14:paraId="6475BF7D">
      <w:pPr>
        <w:pageBreakBefore w:val="0"/>
        <w:kinsoku/>
        <w:wordWrap/>
        <w:overflowPunct/>
        <w:autoSpaceDE/>
        <w:autoSpaceDN/>
        <w:bidi w:val="0"/>
        <w:spacing w:after="313" w:line="560" w:lineRule="exact"/>
        <w:jc w:val="center"/>
        <w:textAlignment w:val="auto"/>
        <w:outlineLvl w:val="0"/>
        <w:rPr>
          <w:rStyle w:val="97"/>
          <w:b/>
          <w:color w:val="auto"/>
          <w:sz w:val="24"/>
          <w:szCs w:val="24"/>
          <w:highlight w:val="none"/>
        </w:rPr>
      </w:pPr>
      <w:r>
        <w:rPr>
          <w:rStyle w:val="97"/>
          <w:rFonts w:hint="eastAsia"/>
          <w:b/>
          <w:color w:val="auto"/>
          <w:sz w:val="24"/>
          <w:szCs w:val="24"/>
          <w:highlight w:val="none"/>
        </w:rPr>
        <w:br w:type="page"/>
      </w:r>
      <w:bookmarkStart w:id="22" w:name="_Toc1397"/>
      <w:r>
        <w:rPr>
          <w:rStyle w:val="97"/>
          <w:rFonts w:hint="eastAsia"/>
          <w:b/>
          <w:bCs w:val="0"/>
          <w:color w:val="auto"/>
          <w:sz w:val="24"/>
          <w:szCs w:val="24"/>
          <w:highlight w:val="none"/>
        </w:rPr>
        <w:t xml:space="preserve">第四章 </w:t>
      </w:r>
      <w:bookmarkEnd w:id="19"/>
      <w:bookmarkEnd w:id="20"/>
      <w:bookmarkEnd w:id="21"/>
      <w:r>
        <w:rPr>
          <w:rFonts w:ascii="Times New Roman" w:hAnsi="Times New Roman" w:eastAsia="宋体"/>
          <w:b/>
          <w:bCs w:val="0"/>
          <w:color w:val="auto"/>
          <w:sz w:val="24"/>
          <w:szCs w:val="24"/>
          <w:highlight w:val="none"/>
          <w:lang w:eastAsia="zh-CN"/>
        </w:rPr>
        <w:t>磋商方法</w:t>
      </w:r>
      <w:r>
        <w:rPr>
          <w:rFonts w:ascii="Times New Roman" w:hAnsi="Times New Roman" w:eastAsia="宋体"/>
          <w:b/>
          <w:bCs w:val="0"/>
          <w:color w:val="auto"/>
          <w:sz w:val="24"/>
          <w:szCs w:val="24"/>
          <w:highlight w:val="none"/>
        </w:rPr>
        <w:t>和标准</w:t>
      </w:r>
      <w:bookmarkEnd w:id="22"/>
    </w:p>
    <w:p w14:paraId="4C939811">
      <w:pPr>
        <w:pageBreakBefore w:val="0"/>
        <w:kinsoku/>
        <w:wordWrap/>
        <w:overflowPunct/>
        <w:autoSpaceDE/>
        <w:autoSpaceDN/>
        <w:bidi w:val="0"/>
        <w:snapToGrid w:val="0"/>
        <w:spacing w:after="0" w:line="560" w:lineRule="exact"/>
        <w:jc w:val="left"/>
        <w:textAlignment w:val="auto"/>
        <w:rPr>
          <w:rStyle w:val="97"/>
          <w:rFonts w:cs="宋体"/>
          <w:b/>
          <w:bCs/>
          <w:color w:val="auto"/>
          <w:spacing w:val="10"/>
          <w:sz w:val="24"/>
          <w:szCs w:val="24"/>
          <w:highlight w:val="none"/>
        </w:rPr>
      </w:pPr>
      <w:r>
        <w:rPr>
          <w:rStyle w:val="97"/>
          <w:rFonts w:hint="eastAsia" w:cs="宋体"/>
          <w:b/>
          <w:bCs/>
          <w:color w:val="auto"/>
          <w:spacing w:val="10"/>
          <w:sz w:val="24"/>
          <w:szCs w:val="24"/>
          <w:highlight w:val="none"/>
        </w:rPr>
        <w:t>一、评审方法</w:t>
      </w:r>
    </w:p>
    <w:p w14:paraId="7CE23AD1">
      <w:pPr>
        <w:pageBreakBefore w:val="0"/>
        <w:kinsoku/>
        <w:wordWrap/>
        <w:overflowPunct/>
        <w:autoSpaceDE/>
        <w:autoSpaceDN/>
        <w:bidi w:val="0"/>
        <w:spacing w:after="0" w:line="560" w:lineRule="exact"/>
        <w:ind w:firstLine="480" w:firstLineChars="200"/>
        <w:jc w:val="left"/>
        <w:textAlignment w:val="auto"/>
        <w:rPr>
          <w:rStyle w:val="97"/>
          <w:color w:val="auto"/>
          <w:spacing w:val="10"/>
          <w:sz w:val="24"/>
          <w:szCs w:val="24"/>
          <w:highlight w:val="none"/>
        </w:rPr>
      </w:pPr>
      <w:r>
        <w:rPr>
          <w:rStyle w:val="97"/>
          <w:rFonts w:hint="eastAsia"/>
          <w:color w:val="auto"/>
          <w:sz w:val="24"/>
          <w:szCs w:val="24"/>
          <w:highlight w:val="none"/>
        </w:rPr>
        <w:t>本次评审采用综合评分法。磋商小组按照《政府采购竞争性磋商采购方式管理暂行办法》，结合本项目具体情况，采用综合评分法，满分</w:t>
      </w:r>
      <w:r>
        <w:rPr>
          <w:rStyle w:val="97"/>
          <w:color w:val="auto"/>
          <w:sz w:val="24"/>
          <w:szCs w:val="24"/>
          <w:highlight w:val="none"/>
        </w:rPr>
        <w:t>100</w:t>
      </w:r>
      <w:r>
        <w:rPr>
          <w:rStyle w:val="97"/>
          <w:rFonts w:hint="eastAsia"/>
          <w:color w:val="auto"/>
          <w:sz w:val="24"/>
          <w:szCs w:val="24"/>
          <w:highlight w:val="none"/>
        </w:rPr>
        <w:t>分。磋商小组</w:t>
      </w:r>
      <w:r>
        <w:rPr>
          <w:rStyle w:val="97"/>
          <w:rFonts w:hint="eastAsia"/>
          <w:color w:val="auto"/>
          <w:spacing w:val="10"/>
          <w:sz w:val="24"/>
          <w:szCs w:val="24"/>
          <w:highlight w:val="none"/>
        </w:rPr>
        <w:t>根据评审原则和办法对所有响应文件进行集中审核，分别打分。</w:t>
      </w:r>
    </w:p>
    <w:p w14:paraId="55B4FE33">
      <w:pPr>
        <w:pageBreakBefore w:val="0"/>
        <w:kinsoku/>
        <w:wordWrap/>
        <w:overflowPunct/>
        <w:autoSpaceDE/>
        <w:autoSpaceDN/>
        <w:bidi w:val="0"/>
        <w:spacing w:after="0" w:line="560" w:lineRule="exact"/>
        <w:jc w:val="left"/>
        <w:textAlignment w:val="auto"/>
        <w:rPr>
          <w:rStyle w:val="97"/>
          <w:b/>
          <w:color w:val="auto"/>
          <w:sz w:val="24"/>
          <w:szCs w:val="24"/>
          <w:highlight w:val="none"/>
        </w:rPr>
      </w:pPr>
      <w:r>
        <w:rPr>
          <w:rStyle w:val="97"/>
          <w:rFonts w:hint="eastAsia"/>
          <w:color w:val="auto"/>
          <w:spacing w:val="10"/>
          <w:sz w:val="24"/>
          <w:szCs w:val="24"/>
          <w:highlight w:val="none"/>
        </w:rPr>
        <w:t>二、</w:t>
      </w:r>
      <w:r>
        <w:rPr>
          <w:rStyle w:val="97"/>
          <w:rFonts w:hint="eastAsia" w:cs="宋体"/>
          <w:b/>
          <w:bCs/>
          <w:color w:val="auto"/>
          <w:spacing w:val="10"/>
          <w:sz w:val="24"/>
          <w:szCs w:val="24"/>
          <w:highlight w:val="none"/>
        </w:rPr>
        <w:t>评分细则</w:t>
      </w:r>
    </w:p>
    <w:p w14:paraId="06948054">
      <w:pPr>
        <w:pageBreakBefore w:val="0"/>
        <w:kinsoku/>
        <w:wordWrap/>
        <w:overflowPunct/>
        <w:autoSpaceDE/>
        <w:autoSpaceDN/>
        <w:bidi w:val="0"/>
        <w:spacing w:after="0" w:line="560" w:lineRule="exact"/>
        <w:ind w:firstLine="481"/>
        <w:jc w:val="left"/>
        <w:textAlignment w:val="auto"/>
        <w:rPr>
          <w:rStyle w:val="97"/>
          <w:color w:val="auto"/>
          <w:sz w:val="24"/>
          <w:szCs w:val="24"/>
          <w:highlight w:val="none"/>
        </w:rPr>
      </w:pPr>
      <w:r>
        <w:rPr>
          <w:rStyle w:val="97"/>
          <w:rFonts w:hint="eastAsia"/>
          <w:color w:val="auto"/>
          <w:sz w:val="24"/>
          <w:szCs w:val="24"/>
          <w:highlight w:val="none"/>
          <w:lang w:eastAsia="zh-CN"/>
        </w:rPr>
        <w:t>磋商小组</w:t>
      </w:r>
      <w:r>
        <w:rPr>
          <w:rStyle w:val="97"/>
          <w:rFonts w:hint="eastAsia"/>
          <w:color w:val="auto"/>
          <w:sz w:val="24"/>
          <w:szCs w:val="24"/>
          <w:highlight w:val="none"/>
        </w:rPr>
        <w:t>综合评审后按总得分由高至低顺序排出各有效供应商的名次，并</w:t>
      </w:r>
      <w:r>
        <w:rPr>
          <w:rStyle w:val="97"/>
          <w:rFonts w:hint="eastAsia" w:cs="宋体"/>
          <w:bCs/>
          <w:color w:val="auto"/>
          <w:sz w:val="24"/>
          <w:szCs w:val="24"/>
          <w:highlight w:val="none"/>
        </w:rPr>
        <w:t>按总得分从高到低推荐中标候选人。</w:t>
      </w:r>
      <w:r>
        <w:rPr>
          <w:rStyle w:val="97"/>
          <w:rFonts w:hint="eastAsia"/>
          <w:color w:val="auto"/>
          <w:sz w:val="24"/>
          <w:szCs w:val="24"/>
          <w:highlight w:val="none"/>
        </w:rPr>
        <w:t>总得分相同的，按投标报价由低到高顺序排列。总得分且投标报价相同的并列，在出现并列情况时按技术指标优劣顺序排列优先顺序，技术指标优劣情况相同的，按购买所投优先采购节能产品和环境标志产品合计金额占自身投标报价比例大的，当比例也相同时，由采购人现场抽签决定优先顺序。</w:t>
      </w:r>
    </w:p>
    <w:p w14:paraId="3BA0B4DF">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r>
        <w:rPr>
          <w:rStyle w:val="97"/>
          <w:rFonts w:hint="eastAsia"/>
          <w:color w:val="auto"/>
          <w:sz w:val="24"/>
          <w:szCs w:val="24"/>
          <w:highlight w:val="none"/>
          <w:lang w:eastAsia="zh-CN"/>
        </w:rPr>
        <w:t>供应商</w:t>
      </w:r>
      <w:r>
        <w:rPr>
          <w:rStyle w:val="97"/>
          <w:rFonts w:hint="eastAsia"/>
          <w:color w:val="auto"/>
          <w:sz w:val="24"/>
          <w:szCs w:val="24"/>
          <w:highlight w:val="none"/>
        </w:rPr>
        <w:t>得分</w:t>
      </w:r>
      <w:r>
        <w:rPr>
          <w:rStyle w:val="97"/>
          <w:color w:val="auto"/>
          <w:sz w:val="24"/>
          <w:szCs w:val="24"/>
          <w:highlight w:val="none"/>
        </w:rPr>
        <w:t xml:space="preserve"> =</w:t>
      </w:r>
      <w:r>
        <w:rPr>
          <w:rStyle w:val="97"/>
          <w:rFonts w:hint="eastAsia"/>
          <w:color w:val="auto"/>
          <w:sz w:val="24"/>
          <w:szCs w:val="24"/>
          <w:highlight w:val="none"/>
        </w:rPr>
        <w:t>价格得分</w:t>
      </w:r>
      <w:r>
        <w:rPr>
          <w:rStyle w:val="97"/>
          <w:color w:val="auto"/>
          <w:sz w:val="24"/>
          <w:szCs w:val="24"/>
          <w:highlight w:val="none"/>
        </w:rPr>
        <w:t>+</w:t>
      </w:r>
      <w:r>
        <w:rPr>
          <w:rStyle w:val="97"/>
          <w:rFonts w:hint="eastAsia"/>
          <w:color w:val="auto"/>
          <w:sz w:val="24"/>
          <w:szCs w:val="24"/>
          <w:highlight w:val="none"/>
        </w:rPr>
        <w:t>技术得分</w:t>
      </w:r>
      <w:r>
        <w:rPr>
          <w:rStyle w:val="97"/>
          <w:color w:val="auto"/>
          <w:sz w:val="24"/>
          <w:szCs w:val="24"/>
          <w:highlight w:val="none"/>
        </w:rPr>
        <w:t>+</w:t>
      </w:r>
      <w:r>
        <w:rPr>
          <w:rStyle w:val="97"/>
          <w:rFonts w:hint="eastAsia"/>
          <w:color w:val="auto"/>
          <w:sz w:val="24"/>
          <w:szCs w:val="24"/>
          <w:highlight w:val="none"/>
          <w:lang w:val="en-US" w:eastAsia="zh-CN"/>
        </w:rPr>
        <w:t>综合</w:t>
      </w:r>
      <w:r>
        <w:rPr>
          <w:rStyle w:val="97"/>
          <w:rFonts w:hint="eastAsia"/>
          <w:color w:val="auto"/>
          <w:sz w:val="24"/>
          <w:szCs w:val="24"/>
          <w:highlight w:val="none"/>
        </w:rPr>
        <w:t>得分</w:t>
      </w:r>
    </w:p>
    <w:p w14:paraId="1D287C61">
      <w:pPr>
        <w:pageBreakBefore w:val="0"/>
        <w:kinsoku/>
        <w:wordWrap/>
        <w:overflowPunct/>
        <w:autoSpaceDE/>
        <w:autoSpaceDN/>
        <w:bidi w:val="0"/>
        <w:spacing w:after="0" w:line="560" w:lineRule="exact"/>
        <w:ind w:firstLine="480" w:firstLineChars="200"/>
        <w:jc w:val="left"/>
        <w:textAlignment w:val="auto"/>
        <w:rPr>
          <w:rStyle w:val="97"/>
          <w:color w:val="auto"/>
          <w:sz w:val="24"/>
          <w:szCs w:val="24"/>
          <w:highlight w:val="none"/>
        </w:rPr>
      </w:pPr>
      <w:r>
        <w:rPr>
          <w:rStyle w:val="97"/>
          <w:rFonts w:hint="eastAsia"/>
          <w:color w:val="auto"/>
          <w:sz w:val="24"/>
          <w:szCs w:val="24"/>
          <w:highlight w:val="none"/>
          <w:lang w:eastAsia="zh-CN"/>
        </w:rPr>
        <w:t>供应商</w:t>
      </w:r>
      <w:r>
        <w:rPr>
          <w:rStyle w:val="97"/>
          <w:rFonts w:hint="eastAsia"/>
          <w:color w:val="auto"/>
          <w:sz w:val="24"/>
          <w:szCs w:val="24"/>
          <w:highlight w:val="none"/>
        </w:rPr>
        <w:t>得分精确到小数点后两位。</w:t>
      </w:r>
    </w:p>
    <w:p w14:paraId="467550E7">
      <w:pPr>
        <w:pageBreakBefore w:val="0"/>
        <w:kinsoku/>
        <w:wordWrap/>
        <w:overflowPunct/>
        <w:autoSpaceDE/>
        <w:autoSpaceDN/>
        <w:bidi w:val="0"/>
        <w:spacing w:after="0" w:line="560" w:lineRule="exact"/>
        <w:jc w:val="left"/>
        <w:textAlignment w:val="auto"/>
        <w:rPr>
          <w:rStyle w:val="97"/>
          <w:color w:val="auto"/>
          <w:kern w:val="0"/>
          <w:sz w:val="24"/>
          <w:szCs w:val="24"/>
          <w:highlight w:val="none"/>
        </w:rPr>
      </w:pPr>
      <w:r>
        <w:rPr>
          <w:rStyle w:val="97"/>
          <w:rFonts w:hint="eastAsia"/>
          <w:color w:val="auto"/>
          <w:kern w:val="0"/>
          <w:sz w:val="24"/>
          <w:szCs w:val="24"/>
          <w:highlight w:val="none"/>
        </w:rPr>
        <w:t>三、综合打分量化因素：</w:t>
      </w:r>
    </w:p>
    <w:p w14:paraId="3DCD5625">
      <w:pPr>
        <w:pageBreakBefore w:val="0"/>
        <w:kinsoku/>
        <w:wordWrap/>
        <w:overflowPunct/>
        <w:autoSpaceDE/>
        <w:autoSpaceDN/>
        <w:bidi w:val="0"/>
        <w:spacing w:after="0" w:line="560" w:lineRule="exact"/>
        <w:jc w:val="left"/>
        <w:textAlignment w:val="auto"/>
        <w:rPr>
          <w:rStyle w:val="97"/>
          <w:rFonts w:cs="宋体"/>
          <w:b/>
          <w:bCs/>
          <w:color w:val="auto"/>
          <w:kern w:val="0"/>
          <w:sz w:val="24"/>
          <w:szCs w:val="24"/>
          <w:highlight w:val="none"/>
        </w:rPr>
      </w:pPr>
      <w:bookmarkStart w:id="23" w:name="OLE_LINK2"/>
      <w:r>
        <w:rPr>
          <w:rStyle w:val="97"/>
          <w:rFonts w:hint="eastAsia" w:cs="宋体"/>
          <w:b/>
          <w:bCs/>
          <w:color w:val="auto"/>
          <w:kern w:val="0"/>
          <w:sz w:val="24"/>
          <w:szCs w:val="24"/>
          <w:highlight w:val="none"/>
        </w:rPr>
        <w:t>（一）投标报价（</w:t>
      </w:r>
      <w:r>
        <w:rPr>
          <w:rStyle w:val="97"/>
          <w:rFonts w:hint="eastAsia" w:cs="宋体"/>
          <w:b/>
          <w:bCs/>
          <w:color w:val="auto"/>
          <w:kern w:val="0"/>
          <w:sz w:val="24"/>
          <w:szCs w:val="24"/>
          <w:highlight w:val="none"/>
          <w:lang w:val="en-US" w:eastAsia="zh-CN"/>
        </w:rPr>
        <w:t>15</w:t>
      </w:r>
      <w:r>
        <w:rPr>
          <w:rStyle w:val="97"/>
          <w:rFonts w:hint="eastAsia" w:cs="宋体"/>
          <w:b/>
          <w:bCs/>
          <w:color w:val="auto"/>
          <w:kern w:val="0"/>
          <w:sz w:val="24"/>
          <w:szCs w:val="24"/>
          <w:highlight w:val="none"/>
        </w:rPr>
        <w:t>分）</w:t>
      </w:r>
    </w:p>
    <w:p w14:paraId="2900D15D">
      <w:pPr>
        <w:pageBreakBefore w:val="0"/>
        <w:kinsoku/>
        <w:wordWrap/>
        <w:overflowPunct/>
        <w:autoSpaceDE/>
        <w:autoSpaceDN/>
        <w:bidi w:val="0"/>
        <w:spacing w:after="0" w:line="560" w:lineRule="exact"/>
        <w:ind w:firstLine="480" w:firstLineChars="200"/>
        <w:jc w:val="left"/>
        <w:textAlignment w:val="auto"/>
        <w:rPr>
          <w:rStyle w:val="97"/>
          <w:color w:val="auto"/>
          <w:kern w:val="0"/>
          <w:sz w:val="24"/>
          <w:szCs w:val="24"/>
          <w:highlight w:val="none"/>
        </w:rPr>
      </w:pPr>
      <w:r>
        <w:rPr>
          <w:rStyle w:val="97"/>
          <w:rFonts w:hint="eastAsia"/>
          <w:color w:val="auto"/>
          <w:kern w:val="0"/>
          <w:sz w:val="24"/>
          <w:szCs w:val="24"/>
          <w:highlight w:val="none"/>
        </w:rPr>
        <w:t>价格分统一采用低价优先法计算，即满足磋商文件要求且</w:t>
      </w:r>
      <w:r>
        <w:rPr>
          <w:rStyle w:val="97"/>
          <w:rFonts w:hint="eastAsia"/>
          <w:color w:val="auto"/>
          <w:kern w:val="0"/>
          <w:sz w:val="24"/>
          <w:szCs w:val="24"/>
          <w:highlight w:val="none"/>
          <w:lang w:val="en-US" w:eastAsia="zh-CN"/>
        </w:rPr>
        <w:t>最后报价（单价）</w:t>
      </w:r>
      <w:r>
        <w:rPr>
          <w:rStyle w:val="97"/>
          <w:rFonts w:hint="eastAsia"/>
          <w:color w:val="auto"/>
          <w:kern w:val="0"/>
          <w:sz w:val="24"/>
          <w:szCs w:val="24"/>
          <w:highlight w:val="none"/>
        </w:rPr>
        <w:t>最低的</w:t>
      </w:r>
      <w:r>
        <w:rPr>
          <w:rStyle w:val="97"/>
          <w:rFonts w:hint="eastAsia"/>
          <w:color w:val="auto"/>
          <w:kern w:val="0"/>
          <w:sz w:val="24"/>
          <w:szCs w:val="24"/>
          <w:highlight w:val="none"/>
          <w:lang w:val="en-US" w:eastAsia="zh-CN"/>
        </w:rPr>
        <w:t>供应商的价格（单价）</w:t>
      </w:r>
      <w:r>
        <w:rPr>
          <w:rStyle w:val="97"/>
          <w:rFonts w:hint="eastAsia"/>
          <w:color w:val="auto"/>
          <w:kern w:val="0"/>
          <w:sz w:val="24"/>
          <w:szCs w:val="24"/>
          <w:highlight w:val="none"/>
        </w:rPr>
        <w:t>为评</w:t>
      </w:r>
      <w:r>
        <w:rPr>
          <w:rStyle w:val="97"/>
          <w:rFonts w:hint="eastAsia"/>
          <w:color w:val="auto"/>
          <w:kern w:val="0"/>
          <w:sz w:val="24"/>
          <w:szCs w:val="24"/>
          <w:highlight w:val="none"/>
          <w:lang w:val="en-US" w:eastAsia="zh-CN"/>
        </w:rPr>
        <w:t>审</w:t>
      </w:r>
      <w:r>
        <w:rPr>
          <w:rStyle w:val="97"/>
          <w:rFonts w:hint="eastAsia"/>
          <w:color w:val="auto"/>
          <w:kern w:val="0"/>
          <w:sz w:val="24"/>
          <w:szCs w:val="24"/>
          <w:highlight w:val="none"/>
        </w:rPr>
        <w:t>基准价，其价格分为满分。其他</w:t>
      </w:r>
      <w:r>
        <w:rPr>
          <w:rStyle w:val="97"/>
          <w:rFonts w:hint="eastAsia"/>
          <w:color w:val="auto"/>
          <w:kern w:val="0"/>
          <w:sz w:val="24"/>
          <w:szCs w:val="24"/>
          <w:highlight w:val="none"/>
          <w:lang w:val="en-US" w:eastAsia="zh-CN"/>
        </w:rPr>
        <w:t>供应商</w:t>
      </w:r>
      <w:r>
        <w:rPr>
          <w:rStyle w:val="97"/>
          <w:rFonts w:hint="eastAsia"/>
          <w:color w:val="auto"/>
          <w:kern w:val="0"/>
          <w:sz w:val="24"/>
          <w:szCs w:val="24"/>
          <w:highlight w:val="none"/>
        </w:rPr>
        <w:t>的价格分按照下列公式计算：</w:t>
      </w:r>
    </w:p>
    <w:p w14:paraId="657CDB4D">
      <w:pPr>
        <w:pageBreakBefore w:val="0"/>
        <w:kinsoku/>
        <w:wordWrap/>
        <w:overflowPunct/>
        <w:autoSpaceDE/>
        <w:autoSpaceDN/>
        <w:bidi w:val="0"/>
        <w:spacing w:after="0" w:line="560" w:lineRule="exact"/>
        <w:ind w:firstLine="480" w:firstLineChars="200"/>
        <w:jc w:val="left"/>
        <w:textAlignment w:val="auto"/>
        <w:rPr>
          <w:rStyle w:val="97"/>
          <w:rFonts w:hint="default" w:eastAsia="宋体" w:cs="宋体"/>
          <w:b/>
          <w:bCs/>
          <w:color w:val="auto"/>
          <w:kern w:val="0"/>
          <w:sz w:val="24"/>
          <w:szCs w:val="24"/>
          <w:highlight w:val="none"/>
          <w:lang w:val="en-US" w:eastAsia="zh-CN"/>
        </w:rPr>
      </w:pPr>
      <w:r>
        <w:rPr>
          <w:rStyle w:val="97"/>
          <w:rFonts w:hint="eastAsia" w:cs="宋体"/>
          <w:bCs/>
          <w:color w:val="auto"/>
          <w:kern w:val="0"/>
          <w:sz w:val="24"/>
          <w:szCs w:val="24"/>
          <w:highlight w:val="none"/>
          <w:lang w:val="en-US" w:eastAsia="zh-CN"/>
        </w:rPr>
        <w:t>磋商报价得分=（磋商基准价/最后磋商报价（单价））</w:t>
      </w:r>
      <w:r>
        <w:rPr>
          <w:rStyle w:val="97"/>
          <w:rFonts w:hint="eastAsia" w:cs="宋体"/>
          <w:bCs/>
          <w:color w:val="auto"/>
          <w:kern w:val="0"/>
          <w:sz w:val="24"/>
          <w:szCs w:val="24"/>
          <w:highlight w:val="none"/>
        </w:rPr>
        <w:t>×</w:t>
      </w:r>
      <w:r>
        <w:rPr>
          <w:rStyle w:val="97"/>
          <w:rFonts w:hint="eastAsia" w:cs="宋体"/>
          <w:bCs/>
          <w:color w:val="auto"/>
          <w:kern w:val="0"/>
          <w:sz w:val="24"/>
          <w:szCs w:val="24"/>
          <w:highlight w:val="none"/>
          <w:lang w:val="en-US" w:eastAsia="zh-CN"/>
        </w:rPr>
        <w:t>15</w:t>
      </w:r>
    </w:p>
    <w:p w14:paraId="52416791">
      <w:pPr>
        <w:pageBreakBefore w:val="0"/>
        <w:kinsoku/>
        <w:wordWrap/>
        <w:overflowPunct/>
        <w:autoSpaceDE/>
        <w:autoSpaceDN/>
        <w:bidi w:val="0"/>
        <w:spacing w:after="0" w:line="560" w:lineRule="exact"/>
        <w:ind w:firstLine="482" w:firstLineChars="200"/>
        <w:jc w:val="left"/>
        <w:textAlignment w:val="auto"/>
        <w:rPr>
          <w:rStyle w:val="97"/>
          <w:rFonts w:hint="eastAsia"/>
          <w:b/>
          <w:color w:val="auto"/>
          <w:kern w:val="0"/>
          <w:sz w:val="24"/>
          <w:szCs w:val="24"/>
          <w:highlight w:val="none"/>
        </w:rPr>
      </w:pPr>
      <w:r>
        <w:rPr>
          <w:rStyle w:val="97"/>
          <w:rFonts w:hint="eastAsia"/>
          <w:b/>
          <w:color w:val="auto"/>
          <w:kern w:val="0"/>
          <w:sz w:val="24"/>
          <w:szCs w:val="24"/>
          <w:highlight w:val="none"/>
        </w:rPr>
        <w:t>注：</w:t>
      </w:r>
    </w:p>
    <w:p w14:paraId="4EF7154B">
      <w:pPr>
        <w:pageBreakBefore w:val="0"/>
        <w:kinsoku/>
        <w:wordWrap/>
        <w:overflowPunct/>
        <w:autoSpaceDE/>
        <w:autoSpaceDN/>
        <w:bidi w:val="0"/>
        <w:spacing w:after="0" w:line="560" w:lineRule="exact"/>
        <w:ind w:firstLine="482" w:firstLineChars="200"/>
        <w:jc w:val="left"/>
        <w:textAlignment w:val="auto"/>
        <w:rPr>
          <w:rStyle w:val="97"/>
          <w:rFonts w:hint="eastAsia"/>
          <w:b/>
          <w:color w:val="auto"/>
          <w:kern w:val="0"/>
          <w:sz w:val="24"/>
          <w:szCs w:val="24"/>
          <w:highlight w:val="none"/>
        </w:rPr>
      </w:pPr>
      <w:r>
        <w:rPr>
          <w:rStyle w:val="97"/>
          <w:rFonts w:hint="eastAsia"/>
          <w:b/>
          <w:color w:val="auto"/>
          <w:kern w:val="0"/>
          <w:sz w:val="24"/>
          <w:szCs w:val="24"/>
          <w:highlight w:val="none"/>
        </w:rPr>
        <w:t>1</w:t>
      </w:r>
      <w:r>
        <w:rPr>
          <w:rStyle w:val="97"/>
          <w:rFonts w:hint="eastAsia"/>
          <w:b/>
          <w:color w:val="auto"/>
          <w:kern w:val="0"/>
          <w:sz w:val="24"/>
          <w:szCs w:val="24"/>
          <w:highlight w:val="none"/>
          <w:lang w:val="en-US" w:eastAsia="zh-CN"/>
        </w:rPr>
        <w:t>.磋商</w:t>
      </w:r>
      <w:r>
        <w:rPr>
          <w:rStyle w:val="97"/>
          <w:rFonts w:hint="eastAsia"/>
          <w:b/>
          <w:color w:val="auto"/>
          <w:kern w:val="0"/>
          <w:sz w:val="24"/>
          <w:szCs w:val="24"/>
          <w:highlight w:val="none"/>
        </w:rPr>
        <w:t>报价超过</w:t>
      </w:r>
      <w:r>
        <w:rPr>
          <w:rStyle w:val="97"/>
          <w:rFonts w:hint="eastAsia"/>
          <w:b/>
          <w:color w:val="auto"/>
          <w:kern w:val="0"/>
          <w:sz w:val="24"/>
          <w:szCs w:val="24"/>
          <w:highlight w:val="none"/>
          <w:lang w:val="en-US" w:eastAsia="zh-CN"/>
        </w:rPr>
        <w:t>最高限价（单价）</w:t>
      </w:r>
      <w:r>
        <w:rPr>
          <w:rStyle w:val="97"/>
          <w:rFonts w:hint="eastAsia"/>
          <w:b/>
          <w:color w:val="auto"/>
          <w:kern w:val="0"/>
          <w:sz w:val="24"/>
          <w:szCs w:val="24"/>
          <w:highlight w:val="none"/>
        </w:rPr>
        <w:t>的</w:t>
      </w:r>
      <w:r>
        <w:rPr>
          <w:rStyle w:val="97"/>
          <w:rFonts w:hint="eastAsia"/>
          <w:b/>
          <w:color w:val="auto"/>
          <w:kern w:val="0"/>
          <w:sz w:val="24"/>
          <w:szCs w:val="24"/>
          <w:highlight w:val="none"/>
          <w:lang w:val="en-US" w:eastAsia="zh-CN"/>
        </w:rPr>
        <w:t>响应文件</w:t>
      </w:r>
      <w:r>
        <w:rPr>
          <w:rStyle w:val="97"/>
          <w:rFonts w:hint="eastAsia"/>
          <w:b/>
          <w:color w:val="auto"/>
          <w:kern w:val="0"/>
          <w:sz w:val="24"/>
          <w:szCs w:val="24"/>
          <w:highlight w:val="none"/>
        </w:rPr>
        <w:t>，做无效标处理。</w:t>
      </w:r>
    </w:p>
    <w:p w14:paraId="748B6698">
      <w:pPr>
        <w:pageBreakBefore w:val="0"/>
        <w:kinsoku/>
        <w:wordWrap/>
        <w:overflowPunct/>
        <w:autoSpaceDE/>
        <w:autoSpaceDN/>
        <w:bidi w:val="0"/>
        <w:spacing w:after="0" w:line="560" w:lineRule="exact"/>
        <w:ind w:firstLine="482" w:firstLineChars="200"/>
        <w:jc w:val="left"/>
        <w:textAlignment w:val="auto"/>
        <w:rPr>
          <w:rStyle w:val="97"/>
          <w:rFonts w:hint="eastAsia"/>
          <w:b/>
          <w:color w:val="auto"/>
          <w:kern w:val="0"/>
          <w:sz w:val="24"/>
          <w:szCs w:val="24"/>
          <w:highlight w:val="none"/>
        </w:rPr>
      </w:pPr>
      <w:r>
        <w:rPr>
          <w:rStyle w:val="97"/>
          <w:rFonts w:hint="eastAsia"/>
          <w:b/>
          <w:color w:val="auto"/>
          <w:kern w:val="0"/>
          <w:sz w:val="24"/>
          <w:szCs w:val="24"/>
          <w:highlight w:val="none"/>
          <w:lang w:val="en-US" w:eastAsia="zh-CN"/>
        </w:rPr>
        <w:t>2.本项目专门面向中小企业采购，</w:t>
      </w:r>
      <w:r>
        <w:rPr>
          <w:rStyle w:val="97"/>
          <w:rFonts w:hint="eastAsia"/>
          <w:b/>
          <w:color w:val="auto"/>
          <w:kern w:val="0"/>
          <w:sz w:val="24"/>
          <w:szCs w:val="24"/>
          <w:highlight w:val="none"/>
        </w:rPr>
        <w:t>响应文件中未提供《中小企业声明函》或声明函不合格的供应商，</w:t>
      </w:r>
      <w:r>
        <w:rPr>
          <w:rStyle w:val="97"/>
          <w:rFonts w:hint="eastAsia"/>
          <w:b/>
          <w:color w:val="auto"/>
          <w:kern w:val="0"/>
          <w:sz w:val="24"/>
          <w:szCs w:val="24"/>
          <w:highlight w:val="none"/>
          <w:lang w:val="en-US" w:eastAsia="zh-CN"/>
        </w:rPr>
        <w:t>或</w:t>
      </w:r>
      <w:r>
        <w:rPr>
          <w:rStyle w:val="97"/>
          <w:rFonts w:hint="eastAsia"/>
          <w:b/>
          <w:color w:val="auto"/>
          <w:kern w:val="0"/>
          <w:sz w:val="24"/>
          <w:szCs w:val="24"/>
          <w:highlight w:val="none"/>
        </w:rPr>
        <w:t>未提供监狱企业证明材料和残疾人福利性单位证明材料的不合格的供应商，</w:t>
      </w:r>
      <w:r>
        <w:rPr>
          <w:rStyle w:val="97"/>
          <w:rFonts w:hint="eastAsia"/>
          <w:b/>
          <w:color w:val="auto"/>
          <w:kern w:val="0"/>
          <w:sz w:val="24"/>
          <w:szCs w:val="24"/>
          <w:highlight w:val="none"/>
          <w:lang w:val="en-US" w:eastAsia="zh-CN"/>
        </w:rPr>
        <w:t>属于不合格供应商</w:t>
      </w:r>
      <w:r>
        <w:rPr>
          <w:rStyle w:val="97"/>
          <w:rFonts w:hint="eastAsia"/>
          <w:b/>
          <w:color w:val="auto"/>
          <w:kern w:val="0"/>
          <w:sz w:val="24"/>
          <w:szCs w:val="24"/>
          <w:highlight w:val="none"/>
        </w:rPr>
        <w:t>。</w:t>
      </w:r>
    </w:p>
    <w:p w14:paraId="078D3854">
      <w:pPr>
        <w:pageBreakBefore w:val="0"/>
        <w:kinsoku/>
        <w:wordWrap/>
        <w:overflowPunct/>
        <w:autoSpaceDE/>
        <w:autoSpaceDN/>
        <w:bidi w:val="0"/>
        <w:spacing w:after="0" w:line="560" w:lineRule="exact"/>
        <w:ind w:firstLine="482" w:firstLineChars="200"/>
        <w:jc w:val="left"/>
        <w:textAlignment w:val="auto"/>
        <w:rPr>
          <w:rStyle w:val="97"/>
          <w:b/>
          <w:color w:val="auto"/>
          <w:kern w:val="0"/>
          <w:sz w:val="24"/>
          <w:szCs w:val="24"/>
          <w:highlight w:val="none"/>
        </w:rPr>
      </w:pPr>
      <w:r>
        <w:rPr>
          <w:rStyle w:val="97"/>
          <w:rFonts w:hint="eastAsia"/>
          <w:b/>
          <w:color w:val="auto"/>
          <w:kern w:val="0"/>
          <w:sz w:val="24"/>
          <w:szCs w:val="24"/>
          <w:highlight w:val="none"/>
        </w:rPr>
        <w:t>特别提示：</w:t>
      </w:r>
    </w:p>
    <w:p w14:paraId="115CB006">
      <w:pPr>
        <w:pageBreakBefore w:val="0"/>
        <w:kinsoku/>
        <w:wordWrap/>
        <w:overflowPunct/>
        <w:autoSpaceDE/>
        <w:autoSpaceDN/>
        <w:bidi w:val="0"/>
        <w:spacing w:after="0" w:line="560" w:lineRule="exact"/>
        <w:ind w:firstLine="480" w:firstLineChars="200"/>
        <w:jc w:val="left"/>
        <w:textAlignment w:val="auto"/>
        <w:rPr>
          <w:rStyle w:val="97"/>
          <w:color w:val="auto"/>
          <w:kern w:val="0"/>
          <w:sz w:val="24"/>
          <w:szCs w:val="24"/>
          <w:highlight w:val="none"/>
        </w:rPr>
      </w:pPr>
      <w:r>
        <w:rPr>
          <w:rStyle w:val="97"/>
          <w:color w:val="auto"/>
          <w:kern w:val="0"/>
          <w:sz w:val="24"/>
          <w:szCs w:val="24"/>
          <w:highlight w:val="none"/>
        </w:rPr>
        <w:t>1</w:t>
      </w:r>
      <w:r>
        <w:rPr>
          <w:rStyle w:val="97"/>
          <w:rFonts w:hint="eastAsia"/>
          <w:color w:val="auto"/>
          <w:kern w:val="0"/>
          <w:sz w:val="24"/>
          <w:szCs w:val="24"/>
          <w:highlight w:val="none"/>
        </w:rPr>
        <w:t>、报价应以公平、合理且对采购人有利为原则。投标报价是评标综合打分的依据之一，但不是唯一依据，也不是决定性因素。</w:t>
      </w:r>
    </w:p>
    <w:p w14:paraId="2555B370">
      <w:pPr>
        <w:pStyle w:val="56"/>
        <w:pageBreakBefore w:val="0"/>
        <w:kinsoku/>
        <w:wordWrap/>
        <w:overflowPunct/>
        <w:autoSpaceDE/>
        <w:autoSpaceDN/>
        <w:bidi w:val="0"/>
        <w:spacing w:after="0" w:line="560" w:lineRule="exact"/>
        <w:ind w:firstLine="480" w:firstLineChars="200"/>
        <w:jc w:val="left"/>
        <w:textAlignment w:val="auto"/>
        <w:rPr>
          <w:rStyle w:val="97"/>
          <w:rFonts w:hint="eastAsia"/>
          <w:color w:val="auto"/>
          <w:kern w:val="0"/>
          <w:sz w:val="24"/>
          <w:szCs w:val="24"/>
          <w:highlight w:val="none"/>
        </w:rPr>
      </w:pPr>
      <w:r>
        <w:rPr>
          <w:rStyle w:val="97"/>
          <w:color w:val="auto"/>
          <w:kern w:val="0"/>
          <w:sz w:val="24"/>
          <w:szCs w:val="24"/>
          <w:highlight w:val="none"/>
        </w:rPr>
        <w:t>2</w:t>
      </w:r>
      <w:r>
        <w:rPr>
          <w:rStyle w:val="97"/>
          <w:rFonts w:hint="eastAsia"/>
          <w:color w:val="auto"/>
          <w:kern w:val="0"/>
          <w:sz w:val="24"/>
          <w:szCs w:val="24"/>
          <w:highlight w:val="none"/>
        </w:rPr>
        <w:t>、投标报价应是在保证采购需求和服务质量的基础上投报的全费用价格。</w:t>
      </w:r>
      <w:r>
        <w:rPr>
          <w:rStyle w:val="97"/>
          <w:rFonts w:hint="eastAsia"/>
          <w:color w:val="auto"/>
          <w:kern w:val="0"/>
          <w:sz w:val="24"/>
          <w:szCs w:val="24"/>
          <w:highlight w:val="none"/>
          <w:lang w:eastAsia="zh-CN"/>
        </w:rPr>
        <w:t>供应商</w:t>
      </w:r>
      <w:r>
        <w:rPr>
          <w:rStyle w:val="97"/>
          <w:rFonts w:hint="eastAsia"/>
          <w:color w:val="auto"/>
          <w:kern w:val="0"/>
          <w:sz w:val="24"/>
          <w:szCs w:val="24"/>
          <w:highlight w:val="none"/>
        </w:rPr>
        <w:t>的报价明显低于其他通过初步评审的</w:t>
      </w:r>
      <w:r>
        <w:rPr>
          <w:rStyle w:val="97"/>
          <w:rFonts w:hint="eastAsia"/>
          <w:color w:val="auto"/>
          <w:kern w:val="0"/>
          <w:sz w:val="24"/>
          <w:szCs w:val="24"/>
          <w:highlight w:val="none"/>
          <w:lang w:eastAsia="zh-CN"/>
        </w:rPr>
        <w:t>供应商</w:t>
      </w:r>
      <w:r>
        <w:rPr>
          <w:rStyle w:val="97"/>
          <w:rFonts w:hint="eastAsia"/>
          <w:color w:val="auto"/>
          <w:kern w:val="0"/>
          <w:sz w:val="24"/>
          <w:szCs w:val="24"/>
          <w:highlight w:val="none"/>
        </w:rPr>
        <w:t>的报价时，</w:t>
      </w:r>
      <w:r>
        <w:rPr>
          <w:rStyle w:val="97"/>
          <w:rFonts w:hint="eastAsia"/>
          <w:color w:val="auto"/>
          <w:kern w:val="0"/>
          <w:sz w:val="24"/>
          <w:szCs w:val="24"/>
          <w:highlight w:val="none"/>
          <w:lang w:eastAsia="zh-CN"/>
        </w:rPr>
        <w:t>磋商小组</w:t>
      </w:r>
      <w:r>
        <w:rPr>
          <w:rStyle w:val="97"/>
          <w:rFonts w:hint="eastAsia"/>
          <w:color w:val="auto"/>
          <w:kern w:val="0"/>
          <w:sz w:val="24"/>
          <w:szCs w:val="24"/>
          <w:highlight w:val="none"/>
        </w:rPr>
        <w:t>应当要求其在评标现场合理的时间内提供书面说明，必要时提交相关证明材料；</w:t>
      </w:r>
      <w:r>
        <w:rPr>
          <w:rStyle w:val="97"/>
          <w:rFonts w:hint="eastAsia"/>
          <w:color w:val="auto"/>
          <w:kern w:val="0"/>
          <w:sz w:val="24"/>
          <w:szCs w:val="24"/>
          <w:highlight w:val="none"/>
          <w:lang w:eastAsia="zh-CN"/>
        </w:rPr>
        <w:t>供应商</w:t>
      </w:r>
      <w:r>
        <w:rPr>
          <w:rStyle w:val="97"/>
          <w:rFonts w:hint="eastAsia"/>
          <w:color w:val="auto"/>
          <w:kern w:val="0"/>
          <w:sz w:val="24"/>
          <w:szCs w:val="24"/>
          <w:highlight w:val="none"/>
        </w:rPr>
        <w:t>不能证明其报价合理性的，</w:t>
      </w:r>
      <w:r>
        <w:rPr>
          <w:rStyle w:val="97"/>
          <w:rFonts w:hint="eastAsia"/>
          <w:color w:val="auto"/>
          <w:kern w:val="0"/>
          <w:sz w:val="24"/>
          <w:szCs w:val="24"/>
          <w:highlight w:val="none"/>
          <w:lang w:eastAsia="zh-CN"/>
        </w:rPr>
        <w:t>磋商小组</w:t>
      </w:r>
      <w:r>
        <w:rPr>
          <w:rStyle w:val="97"/>
          <w:rFonts w:hint="eastAsia"/>
          <w:color w:val="auto"/>
          <w:kern w:val="0"/>
          <w:sz w:val="24"/>
          <w:szCs w:val="24"/>
          <w:highlight w:val="none"/>
        </w:rPr>
        <w:t>应当将其作为无效投标处理。</w:t>
      </w:r>
    </w:p>
    <w:p w14:paraId="412959F5">
      <w:pPr>
        <w:pStyle w:val="56"/>
        <w:pageBreakBefore w:val="0"/>
        <w:kinsoku/>
        <w:wordWrap/>
        <w:overflowPunct/>
        <w:autoSpaceDE/>
        <w:autoSpaceDN/>
        <w:bidi w:val="0"/>
        <w:spacing w:after="0" w:line="560" w:lineRule="exact"/>
        <w:jc w:val="left"/>
        <w:textAlignment w:val="auto"/>
        <w:rPr>
          <w:rStyle w:val="97"/>
          <w:rFonts w:ascii="宋体" w:cs="宋体"/>
          <w:b/>
          <w:bCs/>
          <w:color w:val="auto"/>
          <w:sz w:val="24"/>
          <w:szCs w:val="24"/>
          <w:highlight w:val="none"/>
        </w:rPr>
      </w:pPr>
      <w:r>
        <w:rPr>
          <w:rStyle w:val="97"/>
          <w:rFonts w:hint="eastAsia" w:ascii="宋体" w:hAnsi="宋体" w:cs="宋体"/>
          <w:b/>
          <w:bCs/>
          <w:color w:val="auto"/>
          <w:sz w:val="24"/>
          <w:szCs w:val="24"/>
          <w:highlight w:val="none"/>
        </w:rPr>
        <w:t>（二）技术部分（</w:t>
      </w:r>
      <w:r>
        <w:rPr>
          <w:rStyle w:val="97"/>
          <w:rFonts w:hint="eastAsia" w:ascii="宋体" w:hAnsi="宋体" w:cs="宋体"/>
          <w:b/>
          <w:bCs/>
          <w:color w:val="auto"/>
          <w:sz w:val="24"/>
          <w:szCs w:val="24"/>
          <w:highlight w:val="none"/>
          <w:lang w:val="en-US" w:eastAsia="zh-CN"/>
        </w:rPr>
        <w:t>55</w:t>
      </w:r>
      <w:r>
        <w:rPr>
          <w:rStyle w:val="97"/>
          <w:rFonts w:hint="eastAsia" w:ascii="宋体" w:hAnsi="宋体" w:cs="宋体"/>
          <w:b/>
          <w:bCs/>
          <w:color w:val="auto"/>
          <w:sz w:val="24"/>
          <w:szCs w:val="24"/>
          <w:highlight w:val="none"/>
        </w:rPr>
        <w:t>分）</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887"/>
        <w:gridCol w:w="5954"/>
      </w:tblGrid>
      <w:tr w14:paraId="3F3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restart"/>
            <w:tcBorders>
              <w:left w:val="single" w:color="auto" w:sz="4" w:space="0"/>
              <w:right w:val="single" w:color="auto" w:sz="4" w:space="0"/>
            </w:tcBorders>
            <w:vAlign w:val="center"/>
          </w:tcPr>
          <w:p w14:paraId="708B3A36">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技术部分（</w:t>
            </w:r>
            <w:r>
              <w:rPr>
                <w:rFonts w:hint="eastAsia" w:ascii="宋体" w:hAnsi="宋体" w:eastAsia="宋体" w:cs="宋体"/>
                <w:b/>
                <w:bCs/>
                <w:color w:val="auto"/>
                <w:sz w:val="21"/>
                <w:szCs w:val="21"/>
                <w:highlight w:val="none"/>
                <w:lang w:val="en-US" w:eastAsia="zh-CN"/>
              </w:rPr>
              <w:t>55</w:t>
            </w:r>
            <w:r>
              <w:rPr>
                <w:rFonts w:hint="eastAsia" w:ascii="宋体" w:hAnsi="宋体" w:eastAsia="宋体" w:cs="宋体"/>
                <w:b/>
                <w:bCs/>
                <w:color w:val="auto"/>
                <w:sz w:val="21"/>
                <w:szCs w:val="21"/>
                <w:highlight w:val="none"/>
              </w:rPr>
              <w:t>分）</w:t>
            </w:r>
          </w:p>
        </w:tc>
        <w:tc>
          <w:tcPr>
            <w:tcW w:w="1887" w:type="dxa"/>
            <w:tcBorders>
              <w:top w:val="single" w:color="auto" w:sz="4" w:space="0"/>
              <w:left w:val="single" w:color="auto" w:sz="4" w:space="0"/>
              <w:bottom w:val="single" w:color="auto" w:sz="4" w:space="0"/>
              <w:right w:val="single" w:color="auto" w:sz="4" w:space="0"/>
            </w:tcBorders>
            <w:vAlign w:val="center"/>
          </w:tcPr>
          <w:p w14:paraId="69C4EBC8">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对现状和需求的理解与分析（8分）</w:t>
            </w:r>
          </w:p>
        </w:tc>
        <w:tc>
          <w:tcPr>
            <w:tcW w:w="5954" w:type="dxa"/>
            <w:tcBorders>
              <w:top w:val="single" w:color="auto" w:sz="4" w:space="0"/>
              <w:left w:val="single" w:color="auto" w:sz="4" w:space="0"/>
              <w:bottom w:val="single" w:color="auto" w:sz="4" w:space="0"/>
              <w:right w:val="single" w:color="auto" w:sz="4" w:space="0"/>
            </w:tcBorders>
            <w:vAlign w:val="center"/>
          </w:tcPr>
          <w:p w14:paraId="1A857AC6">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根据任务需求，提供项目实施的需求分析方案，对项目实施的重点、关键点进行分析，由评标委员会进行比较，综合评价：</w:t>
            </w:r>
          </w:p>
          <w:p w14:paraId="72A60B0C">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（1）对任务需求理解透彻、认知明晰，对项目实施的重点、关键点分析精准为优，得8分；</w:t>
            </w:r>
          </w:p>
          <w:p w14:paraId="14E583F2">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（2）对任务需求理解较强、认知较明晰，对项目实施的重点、关键点分析准确为良，得5分；</w:t>
            </w:r>
          </w:p>
          <w:p w14:paraId="7CAF5419">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（3）对任务需求理解一般、认知较笼统，对项目实施的重点、关键点分析基本合理 为一般，得3分；</w:t>
            </w:r>
          </w:p>
          <w:p w14:paraId="64C4BDA0">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（4）对任务需求理解不符合项目实际情况、认知较笼统，对项目实施的重点、关键点理解分析不到位，得1分。</w:t>
            </w:r>
          </w:p>
        </w:tc>
      </w:tr>
      <w:tr w14:paraId="314E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4B60F8AC">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0FAE0264">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项目服务方案</w:t>
            </w:r>
          </w:p>
          <w:p w14:paraId="14D7B5C8">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（8分）</w:t>
            </w:r>
          </w:p>
        </w:tc>
        <w:tc>
          <w:tcPr>
            <w:tcW w:w="5954" w:type="dxa"/>
            <w:tcBorders>
              <w:top w:val="single" w:color="auto" w:sz="4" w:space="0"/>
              <w:left w:val="single" w:color="auto" w:sz="4" w:space="0"/>
              <w:bottom w:val="single" w:color="auto" w:sz="4" w:space="0"/>
              <w:right w:val="single" w:color="auto" w:sz="4" w:space="0"/>
            </w:tcBorders>
            <w:vAlign w:val="center"/>
          </w:tcPr>
          <w:p w14:paraId="34509D4B">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根据供应商提供的项目服务方案（包括档案资料整理、档案扫描、图像挂接、数据备份等）由评标委员会进行比较，综合评价：</w:t>
            </w:r>
          </w:p>
          <w:p w14:paraId="470CBC43">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（1）工作内容详实，技术路线可行，项目实施方案详尽，具有可操作性，预期成果完整，得8分； </w:t>
            </w:r>
          </w:p>
          <w:p w14:paraId="50979729">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（2）工作内容比较详实，技术路线比较可行，项目实施方案比较详尽，可操作性较强，预期成果比较完整，得5分；</w:t>
            </w:r>
          </w:p>
          <w:p w14:paraId="77CD900D">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（3）工作内容基本详实，技术路线基本可行，项目实施方案基本合理，预期成果基本完整，得3分；</w:t>
            </w:r>
          </w:p>
          <w:p w14:paraId="4F36830E">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（4）工作内容不太详尽，技术路线欠缺可行性，项目实施方案欠缺合理性，预期成果欠缺完整性，得1分。</w:t>
            </w:r>
          </w:p>
        </w:tc>
      </w:tr>
      <w:tr w14:paraId="194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4253E4F5">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13C2823F">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安全保密方案</w:t>
            </w:r>
          </w:p>
          <w:p w14:paraId="000B6A78">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（8分）</w:t>
            </w:r>
          </w:p>
        </w:tc>
        <w:tc>
          <w:tcPr>
            <w:tcW w:w="5954" w:type="dxa"/>
            <w:tcBorders>
              <w:top w:val="single" w:color="auto" w:sz="4" w:space="0"/>
              <w:left w:val="single" w:color="auto" w:sz="4" w:space="0"/>
              <w:bottom w:val="single" w:color="auto" w:sz="4" w:space="0"/>
              <w:right w:val="single" w:color="auto" w:sz="4" w:space="0"/>
            </w:tcBorders>
            <w:vAlign w:val="center"/>
          </w:tcPr>
          <w:p w14:paraId="42F9BF51">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根据供应商提供的项目安全保密方案（包括现场安全保密措施、档案实体安全、成果数据安全、信息安全保密、涉密培训机制）由评标委员会进行比较，综合评价：</w:t>
            </w:r>
          </w:p>
          <w:p w14:paraId="455FDA93">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（1）工作内容详实，技术路线可行，项目实施方案详尽，具有可操作性，预期成果完整，得8分； </w:t>
            </w:r>
          </w:p>
          <w:p w14:paraId="56ADF05E">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（2）工作内容比较详实，技术路线比较可行，项目实施方案比较详尽，可操作性较强，预期成果比较完整，得5分；</w:t>
            </w:r>
          </w:p>
          <w:p w14:paraId="25D46E68">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（3）工作内容基本详实，技术路线基本可行，项目实施方案基本合理，预期成果基本完整，得3分；</w:t>
            </w:r>
          </w:p>
          <w:p w14:paraId="69CBE482">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（4）工作内容不太详尽，技术路线欠缺可行性，项目实施方案欠缺合理性，预期成果欠缺完整性，得1分。</w:t>
            </w:r>
          </w:p>
        </w:tc>
      </w:tr>
      <w:tr w14:paraId="1AD0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57CCA111">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3272E4F3">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管理方案（8分）</w:t>
            </w:r>
          </w:p>
        </w:tc>
        <w:tc>
          <w:tcPr>
            <w:tcW w:w="5954" w:type="dxa"/>
            <w:tcBorders>
              <w:top w:val="single" w:color="auto" w:sz="4" w:space="0"/>
              <w:left w:val="single" w:color="auto" w:sz="4" w:space="0"/>
              <w:bottom w:val="single" w:color="auto" w:sz="4" w:space="0"/>
              <w:right w:val="single" w:color="auto" w:sz="4" w:space="0"/>
            </w:tcBorders>
            <w:vAlign w:val="center"/>
          </w:tcPr>
          <w:p w14:paraId="27D5C9F2">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项目管理方案（包括项目操作标准及流程、加工现场布置、负责提供档案数字化加工足够的加工场地、对敏感和危险操作进行记录、加工现场内所有纸质材料的销毁、项目实施完毕后供应商对此次加工成果以书面方式向采购人承诺数据无存留承诺）进行评定：</w:t>
            </w:r>
          </w:p>
          <w:p w14:paraId="243FFDB2">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（1）工作内容详实，技术路线可行，项目实施方案详尽，具有可操作性，预期成果完整，得8分；</w:t>
            </w:r>
          </w:p>
          <w:p w14:paraId="6DEE8ED6">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（2）工作内容比较详实，技术路线比较可行，项目实施方案比较详尽，可操作性较强，预期成果比较完整，得5分；</w:t>
            </w:r>
          </w:p>
          <w:p w14:paraId="7752E358">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（3）工作内容基本详实，技术路线基本可行，项目实施方案基本合理，预期成果基本完整，得3分；</w:t>
            </w:r>
          </w:p>
          <w:p w14:paraId="69F71442">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（4）工作内容不太详尽，技术路线欠缺可行性，项目实施方案欠缺合理性，预期成果欠缺完整性，得1分。</w:t>
            </w:r>
          </w:p>
        </w:tc>
      </w:tr>
      <w:tr w14:paraId="4C4C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7F159688">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7B6AB008">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进度安排及控制措施（8分）</w:t>
            </w:r>
          </w:p>
        </w:tc>
        <w:tc>
          <w:tcPr>
            <w:tcW w:w="5954" w:type="dxa"/>
            <w:tcBorders>
              <w:top w:val="single" w:color="auto" w:sz="4" w:space="0"/>
              <w:left w:val="single" w:color="auto" w:sz="4" w:space="0"/>
              <w:bottom w:val="single" w:color="auto" w:sz="4" w:space="0"/>
              <w:right w:val="single" w:color="auto" w:sz="4" w:space="0"/>
            </w:tcBorders>
            <w:vAlign w:val="top"/>
          </w:tcPr>
          <w:p w14:paraId="2027A1A0">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提供项目的进度计划安排及执行质量保证，</w:t>
            </w:r>
            <w:bookmarkStart w:id="24" w:name="OLE_LINK3"/>
            <w:r>
              <w:rPr>
                <w:rFonts w:hint="eastAsia" w:ascii="宋体" w:hAnsi="宋体" w:eastAsia="宋体" w:cs="宋体"/>
                <w:color w:val="auto"/>
                <w:sz w:val="21"/>
                <w:szCs w:val="21"/>
                <w:highlight w:val="none"/>
                <w:lang w:val="zh-CN" w:eastAsia="zh-CN"/>
              </w:rPr>
              <w:t>由评标委员会进行比较，综合评价</w:t>
            </w:r>
            <w:bookmarkEnd w:id="24"/>
            <w:r>
              <w:rPr>
                <w:rFonts w:hint="eastAsia" w:ascii="宋体" w:hAnsi="宋体" w:eastAsia="宋体" w:cs="宋体"/>
                <w:color w:val="auto"/>
                <w:sz w:val="21"/>
                <w:szCs w:val="21"/>
                <w:highlight w:val="none"/>
                <w:lang w:val="zh-CN" w:eastAsia="zh-CN"/>
              </w:rPr>
              <w:t>：</w:t>
            </w:r>
          </w:p>
          <w:p w14:paraId="22DCC0A4">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（1）进度计划安排及质量管理措施科学合理，全部满足本项目质量目标为优，得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p w14:paraId="68330B8A">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（2）进度计划安排及质量管理措施比较合理，基本满足本项目质量目标为良，得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31646E65">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（3）进度计划安排及质量管理措施基本合理，基本满足本项目质量目标为中，得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6593B900">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）进度计划安排及质量管理措施不够合理，不能满足本项目质量目标为差，得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cs="宋体"/>
                <w:color w:val="auto"/>
                <w:sz w:val="21"/>
                <w:szCs w:val="21"/>
                <w:highlight w:val="none"/>
                <w:lang w:val="zh-CN" w:eastAsia="zh-CN"/>
              </w:rPr>
              <w:t>。</w:t>
            </w:r>
          </w:p>
        </w:tc>
      </w:tr>
      <w:tr w14:paraId="1573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tcBorders>
              <w:left w:val="single" w:color="auto" w:sz="4" w:space="0"/>
              <w:right w:val="single" w:color="auto" w:sz="4" w:space="0"/>
            </w:tcBorders>
            <w:vAlign w:val="center"/>
          </w:tcPr>
          <w:p w14:paraId="778A8E61">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5CBA47EC">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质量保障</w:t>
            </w:r>
            <w:r>
              <w:rPr>
                <w:rFonts w:hint="eastAsia" w:cs="宋体"/>
                <w:b/>
                <w:bCs/>
                <w:color w:val="auto"/>
                <w:sz w:val="21"/>
                <w:szCs w:val="21"/>
                <w:highlight w:val="none"/>
                <w:lang w:val="en-US" w:eastAsia="zh-CN"/>
              </w:rPr>
              <w:t>措施</w:t>
            </w:r>
          </w:p>
          <w:p w14:paraId="27B2C3B5">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（8分）</w:t>
            </w:r>
          </w:p>
        </w:tc>
        <w:tc>
          <w:tcPr>
            <w:tcW w:w="5954" w:type="dxa"/>
            <w:tcBorders>
              <w:top w:val="single" w:color="auto" w:sz="4" w:space="0"/>
              <w:left w:val="single" w:color="auto" w:sz="4" w:space="0"/>
              <w:bottom w:val="single" w:color="auto" w:sz="4" w:space="0"/>
              <w:right w:val="single" w:color="auto" w:sz="4" w:space="0"/>
            </w:tcBorders>
            <w:vAlign w:val="top"/>
          </w:tcPr>
          <w:p w14:paraId="4261B368">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提供质量保障措施，由评标委员会进行比较，综合评价：</w:t>
            </w:r>
          </w:p>
          <w:p w14:paraId="19123382">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（1）措施具体、操作性强、能够完全响应采购文件的要求，得8分；</w:t>
            </w:r>
          </w:p>
          <w:p w14:paraId="4F3C40B6">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（2）措施较具体、操作性较强、能够响应采购文件的要求，得5分；</w:t>
            </w:r>
          </w:p>
          <w:p w14:paraId="4763E56D">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（3）措施基本具体、操作性一般、基本响应采购文件的要求，得3分；</w:t>
            </w:r>
          </w:p>
          <w:p w14:paraId="713AB143">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（4）措施不具体、操作性不强、不响应采购文件的要求，得1分</w:t>
            </w:r>
            <w:r>
              <w:rPr>
                <w:rFonts w:hint="eastAsia" w:cs="宋体"/>
                <w:color w:val="auto"/>
                <w:sz w:val="21"/>
                <w:szCs w:val="21"/>
                <w:highlight w:val="none"/>
                <w:lang w:val="en-US" w:eastAsia="zh-CN"/>
              </w:rPr>
              <w:t>。</w:t>
            </w:r>
          </w:p>
        </w:tc>
      </w:tr>
      <w:tr w14:paraId="0528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11DA11FE">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55DD572A">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人员配备</w:t>
            </w:r>
          </w:p>
          <w:p w14:paraId="67B5808E">
            <w:pPr>
              <w:pageBreakBefore w:val="0"/>
              <w:kinsoku/>
              <w:wordWrap/>
              <w:overflowPunct/>
              <w:autoSpaceDE/>
              <w:autoSpaceDN/>
              <w:bidi w:val="0"/>
              <w:spacing w:line="360" w:lineRule="auto"/>
              <w:ind w:left="-92" w:leftChars="-33" w:firstLine="8" w:firstLineChars="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（7分）</w:t>
            </w:r>
          </w:p>
        </w:tc>
        <w:tc>
          <w:tcPr>
            <w:tcW w:w="5954" w:type="dxa"/>
            <w:tcBorders>
              <w:top w:val="single" w:color="auto" w:sz="4" w:space="0"/>
              <w:left w:val="single" w:color="auto" w:sz="4" w:space="0"/>
              <w:bottom w:val="single" w:color="auto" w:sz="4" w:space="0"/>
              <w:right w:val="single" w:color="auto" w:sz="4" w:space="0"/>
            </w:tcBorders>
            <w:vAlign w:val="center"/>
          </w:tcPr>
          <w:p w14:paraId="495B990F">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根</w:t>
            </w:r>
            <w:r>
              <w:rPr>
                <w:rFonts w:hint="eastAsia" w:ascii="宋体" w:hAnsi="宋体" w:eastAsia="宋体" w:cs="宋体"/>
                <w:color w:val="auto"/>
                <w:sz w:val="21"/>
                <w:szCs w:val="21"/>
                <w:highlight w:val="none"/>
                <w:lang w:val="zh-CN" w:eastAsia="zh-CN"/>
              </w:rPr>
              <w:t>据</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对项目组人员配置水平、人员分工安排是否明确合理等，由评标委员会进行比较，综合评价：</w:t>
            </w:r>
          </w:p>
          <w:p w14:paraId="3EB8008B">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（1）拟派项目组人员配置科学合理、人员分工明确，得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504BECBF">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（2）拟派项目组人员配置较科学合理、人员分工较明确，得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407424D7">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（3）拟派项目组人员配置基本科学合理、人员分工基本明确，得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2A01A97A">
            <w:pPr>
              <w:keepNext w:val="0"/>
              <w:keepLines w:val="0"/>
              <w:pageBreakBefore w:val="0"/>
              <w:widowControl/>
              <w:kinsoku/>
              <w:wordWrap/>
              <w:overflowPunct/>
              <w:topLinePunct w:val="0"/>
              <w:autoSpaceDE/>
              <w:autoSpaceDN/>
              <w:bidi w:val="0"/>
              <w:adjustRightInd/>
              <w:snapToGrid/>
              <w:spacing w:after="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（4）拟派项目组人员配置不科学合理、人员分工不明确，得1分</w:t>
            </w:r>
            <w:r>
              <w:rPr>
                <w:rFonts w:hint="eastAsia" w:cs="宋体"/>
                <w:color w:val="auto"/>
                <w:sz w:val="21"/>
                <w:szCs w:val="21"/>
                <w:highlight w:val="none"/>
                <w:lang w:val="zh-CN" w:eastAsia="zh-CN"/>
              </w:rPr>
              <w:t>。</w:t>
            </w:r>
          </w:p>
        </w:tc>
      </w:tr>
    </w:tbl>
    <w:p w14:paraId="18606709">
      <w:pPr>
        <w:pStyle w:val="56"/>
        <w:keepNext w:val="0"/>
        <w:keepLines w:val="0"/>
        <w:pageBreakBefore w:val="0"/>
        <w:kinsoku/>
        <w:wordWrap/>
        <w:overflowPunct/>
        <w:topLinePunct w:val="0"/>
        <w:autoSpaceDE/>
        <w:autoSpaceDN/>
        <w:bidi w:val="0"/>
        <w:adjustRightInd/>
        <w:snapToGrid/>
        <w:spacing w:after="0" w:line="500" w:lineRule="exact"/>
        <w:jc w:val="left"/>
        <w:textAlignment w:val="auto"/>
        <w:rPr>
          <w:rStyle w:val="97"/>
          <w:rFonts w:hint="eastAsia" w:ascii="宋体" w:hAnsi="宋体" w:eastAsia="宋体" w:cs="宋体"/>
          <w:b/>
          <w:bCs/>
          <w:color w:val="auto"/>
          <w:sz w:val="21"/>
          <w:szCs w:val="21"/>
          <w:highlight w:val="none"/>
        </w:rPr>
      </w:pPr>
      <w:r>
        <w:rPr>
          <w:rStyle w:val="97"/>
          <w:rFonts w:hint="eastAsia" w:ascii="宋体" w:hAnsi="宋体" w:eastAsia="宋体" w:cs="宋体"/>
          <w:b/>
          <w:bCs/>
          <w:color w:val="auto"/>
          <w:sz w:val="21"/>
          <w:szCs w:val="21"/>
          <w:highlight w:val="none"/>
        </w:rPr>
        <w:t>（三）</w:t>
      </w:r>
      <w:r>
        <w:rPr>
          <w:rStyle w:val="97"/>
          <w:rFonts w:hint="eastAsia" w:ascii="宋体" w:hAnsi="宋体" w:eastAsia="宋体" w:cs="宋体"/>
          <w:b/>
          <w:bCs/>
          <w:color w:val="auto"/>
          <w:sz w:val="21"/>
          <w:szCs w:val="21"/>
          <w:highlight w:val="none"/>
          <w:lang w:val="en-US" w:eastAsia="zh-CN"/>
        </w:rPr>
        <w:t>商务部分</w:t>
      </w:r>
      <w:r>
        <w:rPr>
          <w:rStyle w:val="97"/>
          <w:rFonts w:hint="eastAsia" w:ascii="宋体" w:hAnsi="宋体" w:eastAsia="宋体" w:cs="宋体"/>
          <w:b/>
          <w:bCs/>
          <w:color w:val="auto"/>
          <w:sz w:val="21"/>
          <w:szCs w:val="21"/>
          <w:highlight w:val="none"/>
        </w:rPr>
        <w:t>（</w:t>
      </w:r>
      <w:r>
        <w:rPr>
          <w:rStyle w:val="97"/>
          <w:rFonts w:hint="eastAsia" w:ascii="宋体" w:hAnsi="宋体" w:eastAsia="宋体" w:cs="宋体"/>
          <w:b/>
          <w:bCs/>
          <w:color w:val="auto"/>
          <w:sz w:val="21"/>
          <w:szCs w:val="21"/>
          <w:highlight w:val="none"/>
          <w:lang w:val="en-US" w:eastAsia="zh-CN"/>
        </w:rPr>
        <w:t>30</w:t>
      </w:r>
      <w:r>
        <w:rPr>
          <w:rStyle w:val="97"/>
          <w:rFonts w:hint="eastAsia" w:ascii="宋体" w:hAnsi="宋体" w:eastAsia="宋体" w:cs="宋体"/>
          <w:b/>
          <w:bCs/>
          <w:color w:val="auto"/>
          <w:sz w:val="21"/>
          <w:szCs w:val="21"/>
          <w:highlight w:val="none"/>
        </w:rPr>
        <w:t>分）</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887"/>
        <w:gridCol w:w="5954"/>
      </w:tblGrid>
      <w:tr w14:paraId="10E2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5" w:type="dxa"/>
            <w:vMerge w:val="restart"/>
            <w:tcBorders>
              <w:left w:val="single" w:color="auto" w:sz="4" w:space="0"/>
              <w:right w:val="single" w:color="auto" w:sz="4" w:space="0"/>
            </w:tcBorders>
            <w:vAlign w:val="center"/>
          </w:tcPr>
          <w:p w14:paraId="6B69937E">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商务部分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887" w:type="dxa"/>
            <w:tcBorders>
              <w:top w:val="single" w:color="auto" w:sz="4" w:space="0"/>
              <w:left w:val="single" w:color="auto" w:sz="4" w:space="0"/>
              <w:bottom w:val="single" w:color="auto" w:sz="4" w:space="0"/>
              <w:right w:val="single" w:color="auto" w:sz="4" w:space="0"/>
            </w:tcBorders>
            <w:vAlign w:val="center"/>
          </w:tcPr>
          <w:p w14:paraId="5D55B88A">
            <w:pPr>
              <w:keepNext w:val="0"/>
              <w:keepLines w:val="0"/>
              <w:pageBreakBefore w:val="0"/>
              <w:widowControl/>
              <w:kinsoku/>
              <w:wordWrap/>
              <w:overflowPunct/>
              <w:topLinePunct w:val="0"/>
              <w:autoSpaceDE/>
              <w:autoSpaceDN/>
              <w:bidi w:val="0"/>
              <w:adjustRightInd/>
              <w:snapToGrid/>
              <w:spacing w:after="0" w:line="500" w:lineRule="exact"/>
              <w:jc w:val="center"/>
              <w:textAlignment w:val="baseline"/>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企业业绩（</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eastAsia="zh-CN"/>
              </w:rPr>
              <w:t>分）</w:t>
            </w:r>
          </w:p>
        </w:tc>
        <w:tc>
          <w:tcPr>
            <w:tcW w:w="5954" w:type="dxa"/>
            <w:tcBorders>
              <w:top w:val="single" w:color="auto" w:sz="4" w:space="0"/>
              <w:left w:val="single" w:color="auto" w:sz="4" w:space="0"/>
              <w:bottom w:val="single" w:color="auto" w:sz="4" w:space="0"/>
              <w:right w:val="single" w:color="auto" w:sz="4" w:space="0"/>
            </w:tcBorders>
            <w:vAlign w:val="center"/>
          </w:tcPr>
          <w:p w14:paraId="5A661FB8">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en-US" w:eastAsia="zh-CN"/>
              </w:rPr>
            </w:pPr>
            <w:bookmarkStart w:id="25" w:name="OLE_LINK10"/>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20</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lang w:val="zh-CN" w:eastAsia="zh-CN"/>
              </w:rPr>
              <w:t>年1月1日（以合同签订日期为准）以来承接过档案整理项目，每提供1份业绩得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6AF60A70">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注：提供合同扫描件或复印件，以签订合同时间为准，否则不得分。</w:t>
            </w:r>
            <w:bookmarkEnd w:id="25"/>
          </w:p>
        </w:tc>
      </w:tr>
      <w:tr w14:paraId="2D56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31E47C7D">
            <w:pPr>
              <w:keepNext w:val="0"/>
              <w:keepLines w:val="0"/>
              <w:pageBreakBefore w:val="0"/>
              <w:widowControl/>
              <w:kinsoku/>
              <w:wordWrap/>
              <w:overflowPunct/>
              <w:topLinePunct w:val="0"/>
              <w:autoSpaceDE/>
              <w:autoSpaceDN/>
              <w:bidi w:val="0"/>
              <w:adjustRightInd/>
              <w:snapToGrid/>
              <w:spacing w:after="0" w:line="500" w:lineRule="exact"/>
              <w:ind w:firstLine="420" w:firstLineChars="200"/>
              <w:textAlignment w:val="baseline"/>
              <w:rPr>
                <w:rFonts w:hint="eastAsia" w:ascii="宋体" w:hAnsi="宋体" w:eastAsia="宋体" w:cs="宋体"/>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6E670824">
            <w:pPr>
              <w:keepNext w:val="0"/>
              <w:keepLines w:val="0"/>
              <w:pageBreakBefore w:val="0"/>
              <w:widowControl/>
              <w:kinsoku/>
              <w:wordWrap/>
              <w:overflowPunct/>
              <w:topLinePunct w:val="0"/>
              <w:autoSpaceDE/>
              <w:autoSpaceDN/>
              <w:bidi w:val="0"/>
              <w:adjustRightInd/>
              <w:snapToGrid/>
              <w:spacing w:after="0" w:line="500" w:lineRule="exact"/>
              <w:jc w:val="center"/>
              <w:textAlignment w:val="baseline"/>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拟投入项目人员（</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eastAsia="zh-CN"/>
              </w:rPr>
              <w:t>分）</w:t>
            </w:r>
          </w:p>
        </w:tc>
        <w:tc>
          <w:tcPr>
            <w:tcW w:w="5954" w:type="dxa"/>
            <w:tcBorders>
              <w:top w:val="single" w:color="auto" w:sz="4" w:space="0"/>
              <w:left w:val="single" w:color="auto" w:sz="4" w:space="0"/>
              <w:bottom w:val="single" w:color="auto" w:sz="4" w:space="0"/>
              <w:right w:val="single" w:color="auto" w:sz="4" w:space="0"/>
            </w:tcBorders>
            <w:vAlign w:val="center"/>
          </w:tcPr>
          <w:p w14:paraId="7270536E">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拟派项目负责人具有档案管理专业高级及以上职称，每提供一人得3分，最多得3分。（需出具相关证书和人员社保证明，未提供不得分）。</w:t>
            </w:r>
          </w:p>
          <w:p w14:paraId="4BC1F7B2">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2、拟投入本项目人员</w:t>
            </w:r>
            <w:r>
              <w:rPr>
                <w:rFonts w:hint="eastAsia" w:cs="宋体"/>
                <w:color w:val="auto"/>
                <w:sz w:val="21"/>
                <w:szCs w:val="21"/>
                <w:highlight w:val="none"/>
                <w:lang w:val="zh-CN" w:eastAsia="zh-CN"/>
              </w:rPr>
              <w:t>（</w:t>
            </w:r>
            <w:r>
              <w:rPr>
                <w:rFonts w:hint="eastAsia" w:cs="宋体"/>
                <w:color w:val="auto"/>
                <w:sz w:val="21"/>
                <w:szCs w:val="21"/>
                <w:highlight w:val="none"/>
                <w:lang w:val="en-US" w:eastAsia="zh-CN"/>
              </w:rPr>
              <w:t>项目负责人除外</w:t>
            </w:r>
            <w:r>
              <w:rPr>
                <w:rFonts w:hint="eastAsia"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具有档案管理专业职称证或资格证书的，每提供一人得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分。（需出具相关证书</w:t>
            </w:r>
            <w:r>
              <w:rPr>
                <w:rFonts w:hint="eastAsia" w:cs="宋体"/>
                <w:color w:val="auto"/>
                <w:sz w:val="21"/>
                <w:szCs w:val="21"/>
                <w:highlight w:val="none"/>
                <w:lang w:val="en-US" w:eastAsia="zh-CN"/>
              </w:rPr>
              <w:t>和人员社保证明</w:t>
            </w:r>
            <w:r>
              <w:rPr>
                <w:rFonts w:hint="eastAsia" w:ascii="宋体" w:hAnsi="宋体" w:eastAsia="宋体" w:cs="宋体"/>
                <w:color w:val="auto"/>
                <w:sz w:val="21"/>
                <w:szCs w:val="21"/>
                <w:highlight w:val="none"/>
                <w:lang w:val="zh-CN" w:eastAsia="zh-CN"/>
              </w:rPr>
              <w:t>，未提供不得分）</w:t>
            </w:r>
          </w:p>
          <w:p w14:paraId="2AEA0096">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注：提供人员证书及社保缴纳证明扫描件，否则不得分。退休人员无需提供社保证明，但需提供证书、退休证书及劳务合同扫描件。</w:t>
            </w:r>
          </w:p>
        </w:tc>
      </w:tr>
      <w:tr w14:paraId="2F6D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54C65346">
            <w:pPr>
              <w:keepNext w:val="0"/>
              <w:keepLines w:val="0"/>
              <w:pageBreakBefore w:val="0"/>
              <w:widowControl/>
              <w:kinsoku/>
              <w:wordWrap/>
              <w:overflowPunct/>
              <w:topLinePunct w:val="0"/>
              <w:autoSpaceDE/>
              <w:autoSpaceDN/>
              <w:bidi w:val="0"/>
              <w:adjustRightInd/>
              <w:snapToGrid/>
              <w:spacing w:after="0" w:line="500" w:lineRule="exact"/>
              <w:ind w:firstLine="420" w:firstLineChars="200"/>
              <w:textAlignment w:val="baseline"/>
              <w:rPr>
                <w:rFonts w:hint="eastAsia" w:ascii="宋体" w:hAnsi="宋体" w:eastAsia="宋体" w:cs="宋体"/>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7002959D">
            <w:pPr>
              <w:keepNext w:val="0"/>
              <w:keepLines w:val="0"/>
              <w:pageBreakBefore w:val="0"/>
              <w:widowControl/>
              <w:kinsoku/>
              <w:wordWrap/>
              <w:overflowPunct/>
              <w:topLinePunct w:val="0"/>
              <w:autoSpaceDE/>
              <w:autoSpaceDN/>
              <w:bidi w:val="0"/>
              <w:adjustRightInd/>
              <w:snapToGrid/>
              <w:spacing w:after="0" w:line="500" w:lineRule="exact"/>
              <w:jc w:val="center"/>
              <w:textAlignment w:val="baseline"/>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拟投入仪器设备（5分）</w:t>
            </w:r>
          </w:p>
        </w:tc>
        <w:tc>
          <w:tcPr>
            <w:tcW w:w="5954" w:type="dxa"/>
            <w:tcBorders>
              <w:top w:val="single" w:color="auto" w:sz="4" w:space="0"/>
              <w:left w:val="single" w:color="auto" w:sz="4" w:space="0"/>
              <w:bottom w:val="single" w:color="auto" w:sz="4" w:space="0"/>
              <w:right w:val="single" w:color="auto" w:sz="4" w:space="0"/>
            </w:tcBorders>
            <w:vAlign w:val="center"/>
          </w:tcPr>
          <w:p w14:paraId="639343FA">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投入本项目的</w:t>
            </w:r>
            <w:r>
              <w:rPr>
                <w:rFonts w:hint="eastAsia" w:ascii="宋体" w:hAnsi="宋体" w:eastAsia="宋体" w:cs="宋体"/>
                <w:color w:val="auto"/>
                <w:sz w:val="21"/>
                <w:szCs w:val="21"/>
                <w:highlight w:val="none"/>
                <w:lang w:val="en-US" w:eastAsia="zh-CN"/>
              </w:rPr>
              <w:t>电脑、打印机、扫描仪、高拍仪、装订机等</w:t>
            </w:r>
            <w:r>
              <w:rPr>
                <w:rFonts w:hint="eastAsia" w:ascii="宋体" w:hAnsi="宋体" w:eastAsia="宋体" w:cs="宋体"/>
                <w:color w:val="auto"/>
                <w:sz w:val="21"/>
                <w:szCs w:val="21"/>
                <w:highlight w:val="none"/>
                <w:lang w:val="zh-CN" w:eastAsia="zh-CN"/>
              </w:rPr>
              <w:t>仪器设备齐全，满足项目需求，</w:t>
            </w:r>
            <w:r>
              <w:rPr>
                <w:rFonts w:hint="eastAsia" w:cs="宋体"/>
                <w:color w:val="auto"/>
                <w:sz w:val="21"/>
                <w:szCs w:val="21"/>
                <w:highlight w:val="none"/>
                <w:lang w:val="en-US" w:eastAsia="zh-CN"/>
              </w:rPr>
              <w:t>提供齐全</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cs="宋体"/>
                <w:color w:val="auto"/>
                <w:sz w:val="21"/>
                <w:szCs w:val="21"/>
                <w:highlight w:val="none"/>
                <w:lang w:val="zh-CN" w:eastAsia="zh-CN"/>
              </w:rPr>
              <w:t>，</w:t>
            </w:r>
            <w:r>
              <w:rPr>
                <w:rFonts w:hint="eastAsia" w:cs="宋体"/>
                <w:color w:val="auto"/>
                <w:sz w:val="21"/>
                <w:szCs w:val="21"/>
                <w:highlight w:val="none"/>
                <w:lang w:val="en-US" w:eastAsia="zh-CN"/>
              </w:rPr>
              <w:t>每缺少一项扣1分，扣完为止</w:t>
            </w:r>
            <w:r>
              <w:rPr>
                <w:rFonts w:hint="eastAsia" w:ascii="宋体" w:hAnsi="宋体" w:eastAsia="宋体" w:cs="宋体"/>
                <w:color w:val="auto"/>
                <w:sz w:val="21"/>
                <w:szCs w:val="21"/>
                <w:highlight w:val="none"/>
                <w:lang w:val="zh-CN" w:eastAsia="zh-CN"/>
              </w:rPr>
              <w:t>。</w:t>
            </w:r>
          </w:p>
          <w:p w14:paraId="324336AA">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（提供发票</w:t>
            </w:r>
            <w:r>
              <w:rPr>
                <w:rFonts w:hint="eastAsia" w:cs="宋体"/>
                <w:color w:val="auto"/>
                <w:sz w:val="21"/>
                <w:szCs w:val="21"/>
                <w:highlight w:val="none"/>
                <w:lang w:val="en-US" w:eastAsia="zh-CN"/>
              </w:rPr>
              <w:t>扫描件</w:t>
            </w:r>
            <w:r>
              <w:rPr>
                <w:rFonts w:hint="eastAsia" w:ascii="宋体" w:hAnsi="宋体" w:eastAsia="宋体" w:cs="宋体"/>
                <w:color w:val="auto"/>
                <w:sz w:val="21"/>
                <w:szCs w:val="21"/>
                <w:highlight w:val="none"/>
                <w:lang w:val="zh-CN" w:eastAsia="zh-CN"/>
              </w:rPr>
              <w:t>，未提供材料或提供材料不全不得分。）</w:t>
            </w:r>
          </w:p>
        </w:tc>
      </w:tr>
      <w:tr w14:paraId="62E0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76FB83D1">
            <w:pPr>
              <w:keepNext w:val="0"/>
              <w:keepLines w:val="0"/>
              <w:pageBreakBefore w:val="0"/>
              <w:widowControl/>
              <w:kinsoku/>
              <w:wordWrap/>
              <w:overflowPunct/>
              <w:topLinePunct w:val="0"/>
              <w:autoSpaceDE/>
              <w:autoSpaceDN/>
              <w:bidi w:val="0"/>
              <w:adjustRightInd/>
              <w:snapToGrid/>
              <w:spacing w:after="0" w:line="500" w:lineRule="exact"/>
              <w:ind w:right="0" w:rightChars="0" w:firstLine="420" w:firstLineChars="200"/>
              <w:textAlignment w:val="baseline"/>
              <w:rPr>
                <w:rFonts w:hint="eastAsia" w:ascii="宋体" w:hAnsi="宋体" w:eastAsia="宋体" w:cs="宋体"/>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3AD36825">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highlight w:val="none"/>
                <w:lang w:val="zh-CN" w:eastAsia="zh-CN"/>
              </w:rPr>
              <w:t>售后服务（5分）</w:t>
            </w:r>
          </w:p>
        </w:tc>
        <w:tc>
          <w:tcPr>
            <w:tcW w:w="5954" w:type="dxa"/>
            <w:tcBorders>
              <w:top w:val="single" w:color="auto" w:sz="4" w:space="0"/>
              <w:left w:val="single" w:color="auto" w:sz="4" w:space="0"/>
              <w:bottom w:val="single" w:color="auto" w:sz="4" w:space="0"/>
              <w:right w:val="single" w:color="auto" w:sz="4" w:space="0"/>
            </w:tcBorders>
            <w:vAlign w:val="center"/>
          </w:tcPr>
          <w:p w14:paraId="4D8098E8">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提供项目的售后服务方案，由评标委员会进行比较，综合评价：</w:t>
            </w:r>
          </w:p>
          <w:p w14:paraId="2FE3B8C5">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（1）售后服务内容详实合理，服务承诺针对性强，得5分；</w:t>
            </w:r>
          </w:p>
          <w:p w14:paraId="30CD589B">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（2）售后服务内容较为合理，服务承诺针对性较强，得3分；</w:t>
            </w:r>
          </w:p>
          <w:p w14:paraId="60103283">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（3）售后服务内容基本合理，服务承诺针对性一般，得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w:t>
            </w:r>
          </w:p>
          <w:p w14:paraId="05124DFB">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（4）售后服务内容不合理，服务承诺没有针对性一般，得1分。</w:t>
            </w:r>
          </w:p>
          <w:p w14:paraId="0ADAA26A">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sz w:val="21"/>
                <w:szCs w:val="21"/>
                <w:highlight w:val="none"/>
                <w:lang w:val="en-US" w:eastAsia="zh-CN"/>
              </w:rPr>
              <w:t>注：此项内容，若缺项，按0分计。</w:t>
            </w:r>
          </w:p>
        </w:tc>
      </w:tr>
      <w:tr w14:paraId="0E62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Merge w:val="continue"/>
            <w:tcBorders>
              <w:left w:val="single" w:color="auto" w:sz="4" w:space="0"/>
              <w:right w:val="single" w:color="auto" w:sz="4" w:space="0"/>
            </w:tcBorders>
            <w:vAlign w:val="center"/>
          </w:tcPr>
          <w:p w14:paraId="73F07C42">
            <w:pPr>
              <w:keepNext w:val="0"/>
              <w:keepLines w:val="0"/>
              <w:pageBreakBefore w:val="0"/>
              <w:widowControl/>
              <w:kinsoku/>
              <w:wordWrap/>
              <w:overflowPunct/>
              <w:topLinePunct w:val="0"/>
              <w:autoSpaceDE/>
              <w:autoSpaceDN/>
              <w:bidi w:val="0"/>
              <w:adjustRightInd/>
              <w:snapToGrid/>
              <w:spacing w:after="0" w:line="500" w:lineRule="exact"/>
              <w:ind w:right="0" w:rightChars="0" w:firstLine="420" w:firstLineChars="200"/>
              <w:textAlignment w:val="baseline"/>
              <w:rPr>
                <w:rFonts w:hint="eastAsia" w:ascii="宋体" w:hAnsi="宋体" w:eastAsia="宋体" w:cs="宋体"/>
                <w:color w:val="auto"/>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5A72A339">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zh-CN" w:eastAsia="zh-CN"/>
              </w:rPr>
              <w:t>合理化建议（</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val="zh-CN" w:eastAsia="zh-CN"/>
              </w:rPr>
              <w:t>分）</w:t>
            </w:r>
          </w:p>
        </w:tc>
        <w:tc>
          <w:tcPr>
            <w:tcW w:w="5954" w:type="dxa"/>
            <w:tcBorders>
              <w:top w:val="single" w:color="auto" w:sz="4" w:space="0"/>
              <w:left w:val="single" w:color="auto" w:sz="4" w:space="0"/>
              <w:bottom w:val="single" w:color="auto" w:sz="4" w:space="0"/>
              <w:right w:val="single" w:color="auto" w:sz="4" w:space="0"/>
            </w:tcBorders>
            <w:vAlign w:val="center"/>
          </w:tcPr>
          <w:p w14:paraId="2AD6385D">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）供应商提出的切实可行的合理化建议与措施，</w:t>
            </w:r>
            <w:r>
              <w:rPr>
                <w:rFonts w:hint="eastAsia" w:ascii="宋体" w:hAnsi="宋体" w:eastAsia="宋体" w:cs="宋体"/>
                <w:sz w:val="21"/>
                <w:szCs w:val="21"/>
                <w:highlight w:val="none"/>
                <w:lang w:val="en-US" w:eastAsia="zh-CN"/>
              </w:rPr>
              <w:t>每有一项得1分，最多得3分</w:t>
            </w:r>
            <w:r>
              <w:rPr>
                <w:rFonts w:hint="eastAsia" w:ascii="宋体" w:hAnsi="宋体" w:eastAsia="宋体" w:cs="宋体"/>
                <w:sz w:val="21"/>
                <w:szCs w:val="21"/>
                <w:highlight w:val="none"/>
                <w:lang w:val="zh-CN" w:eastAsia="zh-CN"/>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w:t>
            </w:r>
          </w:p>
          <w:p w14:paraId="0F96699B">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供应商的</w:t>
            </w:r>
            <w:r>
              <w:rPr>
                <w:rFonts w:hint="eastAsia" w:ascii="宋体" w:hAnsi="宋体" w:eastAsia="宋体" w:cs="宋体"/>
                <w:sz w:val="21"/>
                <w:szCs w:val="21"/>
                <w:highlight w:val="none"/>
                <w:lang w:val="zh-CN" w:eastAsia="zh-CN"/>
              </w:rPr>
              <w:t>技术支持保障措施，响应时间等其他优惠服务承诺，每有一项得1分，最多得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分（0-</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w:t>
            </w:r>
          </w:p>
        </w:tc>
      </w:tr>
      <w:bookmarkEnd w:id="23"/>
    </w:tbl>
    <w:p w14:paraId="74D11267">
      <w:pPr>
        <w:keepNext w:val="0"/>
        <w:keepLines w:val="0"/>
        <w:pageBreakBefore w:val="0"/>
        <w:kinsoku/>
        <w:wordWrap/>
        <w:overflowPunct/>
        <w:topLinePunct w:val="0"/>
        <w:autoSpaceDE/>
        <w:autoSpaceDN/>
        <w:bidi w:val="0"/>
        <w:adjustRightInd/>
        <w:snapToGrid/>
        <w:spacing w:line="500" w:lineRule="exact"/>
        <w:ind w:right="0" w:rightChars="0"/>
        <w:rPr>
          <w:rStyle w:val="97"/>
          <w:rFonts w:hint="eastAsia"/>
          <w:bCs/>
          <w:color w:val="auto"/>
          <w:sz w:val="24"/>
          <w:szCs w:val="24"/>
          <w:highlight w:val="none"/>
        </w:rPr>
      </w:pPr>
    </w:p>
    <w:p w14:paraId="05E0A0B0">
      <w:pPr>
        <w:pStyle w:val="56"/>
        <w:keepNext w:val="0"/>
        <w:keepLines w:val="0"/>
        <w:pageBreakBefore w:val="0"/>
        <w:kinsoku/>
        <w:wordWrap/>
        <w:overflowPunct/>
        <w:topLinePunct w:val="0"/>
        <w:autoSpaceDE/>
        <w:autoSpaceDN/>
        <w:bidi w:val="0"/>
        <w:adjustRightInd/>
        <w:snapToGrid/>
        <w:spacing w:after="0" w:line="500" w:lineRule="exact"/>
        <w:ind w:right="0" w:rightChars="0" w:firstLine="480" w:firstLineChars="200"/>
        <w:jc w:val="left"/>
        <w:textAlignment w:val="auto"/>
        <w:rPr>
          <w:rStyle w:val="97"/>
          <w:rFonts w:ascii="宋体" w:hAnsi="宋体" w:cs="Times New Roman"/>
          <w:color w:val="auto"/>
          <w:sz w:val="24"/>
          <w:szCs w:val="24"/>
          <w:highlight w:val="none"/>
        </w:rPr>
      </w:pPr>
      <w:r>
        <w:rPr>
          <w:rStyle w:val="97"/>
          <w:rFonts w:hint="eastAsia"/>
          <w:bCs/>
          <w:color w:val="auto"/>
          <w:sz w:val="24"/>
          <w:szCs w:val="24"/>
          <w:highlight w:val="none"/>
        </w:rPr>
        <w:t>注：</w:t>
      </w:r>
      <w:r>
        <w:rPr>
          <w:rStyle w:val="97"/>
          <w:rFonts w:hint="eastAsia" w:ascii="宋体" w:hAnsi="宋体" w:cs="Times New Roman"/>
          <w:color w:val="auto"/>
          <w:sz w:val="24"/>
          <w:szCs w:val="24"/>
          <w:highlight w:val="none"/>
        </w:rPr>
        <w:t>1、最终计评分保留小数点后二位。</w:t>
      </w:r>
    </w:p>
    <w:p w14:paraId="60805085">
      <w:pPr>
        <w:pStyle w:val="56"/>
        <w:keepNext w:val="0"/>
        <w:keepLines w:val="0"/>
        <w:pageBreakBefore w:val="0"/>
        <w:tabs>
          <w:tab w:val="left" w:pos="3640"/>
        </w:tabs>
        <w:kinsoku/>
        <w:wordWrap/>
        <w:overflowPunct/>
        <w:topLinePunct w:val="0"/>
        <w:autoSpaceDE/>
        <w:autoSpaceDN/>
        <w:bidi w:val="0"/>
        <w:adjustRightInd/>
        <w:snapToGrid/>
        <w:spacing w:after="0" w:line="500" w:lineRule="exact"/>
        <w:ind w:firstLine="960" w:firstLineChars="400"/>
        <w:jc w:val="left"/>
        <w:textAlignment w:val="auto"/>
        <w:rPr>
          <w:rStyle w:val="97"/>
          <w:rFonts w:ascii="宋体" w:hAnsi="宋体" w:cs="Times New Roman"/>
          <w:color w:val="auto"/>
          <w:sz w:val="24"/>
          <w:szCs w:val="24"/>
          <w:highlight w:val="none"/>
        </w:rPr>
      </w:pPr>
      <w:r>
        <w:rPr>
          <w:rStyle w:val="97"/>
          <w:rFonts w:hint="eastAsia" w:ascii="宋体" w:hAnsi="宋体" w:cs="Times New Roman"/>
          <w:color w:val="auto"/>
          <w:sz w:val="24"/>
          <w:szCs w:val="24"/>
          <w:highlight w:val="none"/>
        </w:rPr>
        <w:t>2、磋商基准价是指通过初步审查的有效供应商的最终报价</w:t>
      </w:r>
      <w:r>
        <w:rPr>
          <w:rStyle w:val="97"/>
          <w:rFonts w:hint="eastAsia" w:ascii="宋体" w:hAnsi="宋体" w:cs="Times New Roman"/>
          <w:color w:val="auto"/>
          <w:sz w:val="24"/>
          <w:szCs w:val="24"/>
          <w:highlight w:val="none"/>
          <w:lang w:eastAsia="zh-CN"/>
        </w:rPr>
        <w:t>（</w:t>
      </w:r>
      <w:r>
        <w:rPr>
          <w:rStyle w:val="97"/>
          <w:rFonts w:hint="eastAsia" w:ascii="宋体" w:hAnsi="宋体" w:cs="Times New Roman"/>
          <w:color w:val="auto"/>
          <w:sz w:val="24"/>
          <w:szCs w:val="24"/>
          <w:highlight w:val="none"/>
          <w:lang w:val="en-US" w:eastAsia="zh-CN"/>
        </w:rPr>
        <w:t>单价</w:t>
      </w:r>
      <w:r>
        <w:rPr>
          <w:rStyle w:val="97"/>
          <w:rFonts w:hint="eastAsia" w:ascii="宋体" w:hAnsi="宋体" w:cs="Times New Roman"/>
          <w:color w:val="auto"/>
          <w:sz w:val="24"/>
          <w:szCs w:val="24"/>
          <w:highlight w:val="none"/>
          <w:lang w:eastAsia="zh-CN"/>
        </w:rPr>
        <w:t>）</w:t>
      </w:r>
      <w:r>
        <w:rPr>
          <w:rStyle w:val="97"/>
          <w:rFonts w:hint="eastAsia" w:ascii="宋体" w:hAnsi="宋体" w:cs="Times New Roman"/>
          <w:color w:val="auto"/>
          <w:sz w:val="24"/>
          <w:szCs w:val="24"/>
          <w:highlight w:val="none"/>
        </w:rPr>
        <w:t>中的最低报价</w:t>
      </w:r>
      <w:r>
        <w:rPr>
          <w:rStyle w:val="97"/>
          <w:rFonts w:hint="eastAsia" w:ascii="宋体" w:hAnsi="宋体" w:cs="Times New Roman"/>
          <w:color w:val="auto"/>
          <w:sz w:val="24"/>
          <w:szCs w:val="24"/>
          <w:highlight w:val="none"/>
          <w:lang w:eastAsia="zh-CN"/>
        </w:rPr>
        <w:t>（</w:t>
      </w:r>
      <w:r>
        <w:rPr>
          <w:rStyle w:val="97"/>
          <w:rFonts w:hint="eastAsia" w:ascii="宋体" w:hAnsi="宋体" w:cs="Times New Roman"/>
          <w:color w:val="auto"/>
          <w:sz w:val="24"/>
          <w:szCs w:val="24"/>
          <w:highlight w:val="none"/>
          <w:lang w:val="en-US" w:eastAsia="zh-CN"/>
        </w:rPr>
        <w:t>单价</w:t>
      </w:r>
      <w:r>
        <w:rPr>
          <w:rStyle w:val="97"/>
          <w:rFonts w:hint="eastAsia" w:ascii="宋体" w:hAnsi="宋体" w:cs="Times New Roman"/>
          <w:color w:val="auto"/>
          <w:sz w:val="24"/>
          <w:szCs w:val="24"/>
          <w:highlight w:val="none"/>
          <w:lang w:eastAsia="zh-CN"/>
        </w:rPr>
        <w:t>）</w:t>
      </w:r>
      <w:r>
        <w:rPr>
          <w:rStyle w:val="97"/>
          <w:rFonts w:hint="eastAsia" w:ascii="宋体" w:hAnsi="宋体" w:cs="Times New Roman"/>
          <w:color w:val="auto"/>
          <w:sz w:val="24"/>
          <w:szCs w:val="24"/>
          <w:highlight w:val="none"/>
        </w:rPr>
        <w:t>。</w:t>
      </w:r>
    </w:p>
    <w:p w14:paraId="34418D0A">
      <w:pPr>
        <w:pStyle w:val="62"/>
        <w:pageBreakBefore w:val="0"/>
        <w:kinsoku/>
        <w:wordWrap/>
        <w:overflowPunct/>
        <w:autoSpaceDE/>
        <w:autoSpaceDN/>
        <w:bidi w:val="0"/>
        <w:spacing w:line="560" w:lineRule="exact"/>
        <w:rPr>
          <w:color w:val="auto"/>
          <w:sz w:val="24"/>
          <w:szCs w:val="24"/>
          <w:highlight w:val="none"/>
        </w:rPr>
      </w:pPr>
    </w:p>
    <w:p w14:paraId="7B47D8C3">
      <w:pPr>
        <w:pStyle w:val="64"/>
        <w:keepNext w:val="0"/>
        <w:keepLines w:val="0"/>
        <w:pageBreakBefore w:val="0"/>
        <w:widowControl/>
        <w:kinsoku/>
        <w:wordWrap/>
        <w:overflowPunct/>
        <w:topLinePunct w:val="0"/>
        <w:autoSpaceDE/>
        <w:autoSpaceDN/>
        <w:bidi w:val="0"/>
        <w:adjustRightInd/>
        <w:snapToGrid/>
        <w:spacing w:after="0" w:line="400" w:lineRule="exact"/>
        <w:jc w:val="center"/>
        <w:outlineLvl w:val="0"/>
        <w:rPr>
          <w:rStyle w:val="97"/>
          <w:b/>
          <w:color w:val="auto"/>
          <w:sz w:val="24"/>
          <w:szCs w:val="24"/>
          <w:highlight w:val="none"/>
        </w:rPr>
      </w:pPr>
      <w:bookmarkStart w:id="26" w:name="_Toc1275"/>
      <w:bookmarkStart w:id="27" w:name="_Toc28415"/>
      <w:bookmarkStart w:id="28" w:name="_Toc13642"/>
      <w:r>
        <w:rPr>
          <w:rStyle w:val="97"/>
          <w:rFonts w:hint="eastAsia"/>
          <w:b/>
          <w:color w:val="auto"/>
          <w:sz w:val="24"/>
          <w:szCs w:val="24"/>
          <w:highlight w:val="none"/>
        </w:rPr>
        <w:br w:type="page"/>
      </w:r>
      <w:bookmarkStart w:id="29" w:name="_Toc24345"/>
      <w:r>
        <w:rPr>
          <w:rStyle w:val="97"/>
          <w:rFonts w:hint="eastAsia"/>
          <w:b/>
          <w:color w:val="auto"/>
          <w:sz w:val="24"/>
          <w:szCs w:val="24"/>
          <w:highlight w:val="none"/>
        </w:rPr>
        <w:t>第五章</w:t>
      </w:r>
      <w:r>
        <w:rPr>
          <w:rStyle w:val="97"/>
          <w:rFonts w:hint="eastAsia"/>
          <w:b/>
          <w:color w:val="auto"/>
          <w:sz w:val="24"/>
          <w:szCs w:val="24"/>
          <w:highlight w:val="none"/>
          <w:lang w:val="en-US" w:eastAsia="zh-CN"/>
        </w:rPr>
        <w:t xml:space="preserve"> </w:t>
      </w:r>
      <w:r>
        <w:rPr>
          <w:rStyle w:val="97"/>
          <w:rFonts w:hint="eastAsia"/>
          <w:b/>
          <w:color w:val="auto"/>
          <w:sz w:val="24"/>
          <w:szCs w:val="24"/>
          <w:highlight w:val="none"/>
        </w:rPr>
        <w:t>合同（参考格式）</w:t>
      </w:r>
      <w:bookmarkEnd w:id="26"/>
      <w:bookmarkEnd w:id="27"/>
      <w:bookmarkEnd w:id="28"/>
      <w:bookmarkEnd w:id="29"/>
    </w:p>
    <w:p w14:paraId="234BA8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bCs/>
          <w:sz w:val="28"/>
          <w:szCs w:val="28"/>
        </w:rPr>
      </w:pPr>
      <w:bookmarkStart w:id="30" w:name="_Toc14320_WPSOffice_Level2"/>
      <w:bookmarkStart w:id="31" w:name="_Toc6906_WPSOffice_Level2"/>
      <w:bookmarkStart w:id="32" w:name="_Toc17930_WPSOffice_Level2"/>
      <w:r>
        <w:rPr>
          <w:rFonts w:hint="eastAsia" w:ascii="宋体" w:hAnsi="宋体" w:cs="宋体"/>
          <w:b/>
          <w:bCs/>
          <w:sz w:val="28"/>
          <w:szCs w:val="28"/>
          <w:lang w:eastAsia="zh-CN"/>
        </w:rPr>
        <w:t>郑州市自然资源和规划局高新分局不动产登记和房地产交易中心档案整理项目</w:t>
      </w:r>
      <w:r>
        <w:rPr>
          <w:rFonts w:hint="eastAsia" w:ascii="宋体" w:hAnsi="宋体" w:cs="宋体"/>
          <w:b/>
          <w:bCs/>
          <w:sz w:val="28"/>
          <w:szCs w:val="28"/>
        </w:rPr>
        <w:t>服务合同</w:t>
      </w:r>
      <w:bookmarkEnd w:id="30"/>
      <w:bookmarkEnd w:id="31"/>
      <w:bookmarkEnd w:id="32"/>
    </w:p>
    <w:p w14:paraId="213D0664">
      <w:pPr>
        <w:keepNext w:val="0"/>
        <w:keepLines w:val="0"/>
        <w:pageBreakBefore w:val="0"/>
        <w:widowControl/>
        <w:kinsoku/>
        <w:wordWrap/>
        <w:overflowPunct/>
        <w:topLinePunct w:val="0"/>
        <w:autoSpaceDE/>
        <w:autoSpaceDN/>
        <w:bidi w:val="0"/>
        <w:adjustRightInd/>
        <w:snapToGrid/>
        <w:spacing w:after="0" w:line="500" w:lineRule="exact"/>
        <w:ind w:firstLine="420" w:firstLineChars="200"/>
        <w:rPr>
          <w:rFonts w:hint="eastAsia" w:ascii="宋体" w:hAnsi="宋体" w:eastAsia="宋体" w:cs="宋体"/>
          <w:bCs/>
          <w:sz w:val="21"/>
          <w:szCs w:val="21"/>
          <w:lang w:eastAsia="zh-CN"/>
        </w:rPr>
      </w:pPr>
      <w:r>
        <w:rPr>
          <w:rFonts w:hint="eastAsia" w:ascii="宋体" w:hAnsi="宋体" w:cs="宋体"/>
          <w:bCs/>
          <w:sz w:val="21"/>
          <w:szCs w:val="21"/>
        </w:rPr>
        <w:t>委托方(甲方)</w:t>
      </w:r>
      <w:r>
        <w:rPr>
          <w:rFonts w:hint="eastAsia" w:ascii="宋体" w:hAnsi="宋体" w:cs="宋体"/>
          <w:bCs/>
          <w:sz w:val="21"/>
          <w:szCs w:val="21"/>
          <w:lang w:eastAsia="zh-CN"/>
        </w:rPr>
        <w:t>：</w:t>
      </w:r>
      <w:r>
        <w:rPr>
          <w:rFonts w:hint="eastAsia" w:ascii="宋体" w:hAnsi="宋体" w:cs="宋体"/>
          <w:bCs/>
          <w:sz w:val="21"/>
          <w:szCs w:val="21"/>
          <w:u w:val="single"/>
          <w:lang w:eastAsia="zh-CN"/>
        </w:rPr>
        <w:t>郑州市自然资源和规划局高新分局</w:t>
      </w:r>
    </w:p>
    <w:p w14:paraId="70DB9168">
      <w:pPr>
        <w:keepNext w:val="0"/>
        <w:keepLines w:val="0"/>
        <w:pageBreakBefore w:val="0"/>
        <w:widowControl/>
        <w:kinsoku/>
        <w:wordWrap/>
        <w:overflowPunct/>
        <w:topLinePunct w:val="0"/>
        <w:autoSpaceDE/>
        <w:autoSpaceDN/>
        <w:bidi w:val="0"/>
        <w:adjustRightInd/>
        <w:snapToGrid/>
        <w:spacing w:after="0" w:line="500" w:lineRule="exact"/>
        <w:ind w:firstLine="420" w:firstLineChars="200"/>
        <w:rPr>
          <w:rFonts w:hint="default" w:ascii="宋体" w:hAnsi="宋体" w:eastAsia="宋体" w:cs="宋体"/>
          <w:sz w:val="21"/>
          <w:szCs w:val="21"/>
          <w:u w:val="single"/>
          <w:lang w:val="en-US" w:eastAsia="zh-CN"/>
        </w:rPr>
      </w:pPr>
      <w:r>
        <w:rPr>
          <w:rFonts w:hint="eastAsia" w:ascii="宋体" w:hAnsi="宋体" w:cs="宋体"/>
          <w:bCs/>
          <w:sz w:val="21"/>
          <w:szCs w:val="21"/>
        </w:rPr>
        <w:t>受托方(乙方)</w:t>
      </w:r>
      <w:r>
        <w:rPr>
          <w:rFonts w:hint="eastAsia" w:ascii="宋体" w:hAnsi="宋体" w:cs="宋体"/>
          <w:bCs/>
          <w:sz w:val="21"/>
          <w:szCs w:val="21"/>
          <w:lang w:eastAsia="zh-CN"/>
        </w:rPr>
        <w:t>：</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 xml:space="preserve">                              </w:t>
      </w:r>
    </w:p>
    <w:p w14:paraId="4AA779CB">
      <w:pPr>
        <w:keepNext w:val="0"/>
        <w:keepLines w:val="0"/>
        <w:pageBreakBefore w:val="0"/>
        <w:widowControl/>
        <w:kinsoku/>
        <w:wordWrap/>
        <w:overflowPunct/>
        <w:topLinePunct w:val="0"/>
        <w:autoSpaceDE/>
        <w:autoSpaceDN/>
        <w:bidi w:val="0"/>
        <w:adjustRightInd/>
        <w:snapToGrid/>
        <w:spacing w:after="0" w:line="500" w:lineRule="exact"/>
        <w:ind w:firstLine="420" w:firstLineChars="200"/>
        <w:rPr>
          <w:rFonts w:hint="eastAsia" w:ascii="宋体" w:hAnsi="宋体" w:eastAsia="宋体" w:cs="宋体"/>
          <w:bCs/>
          <w:sz w:val="21"/>
          <w:szCs w:val="21"/>
          <w:lang w:eastAsia="zh-CN"/>
        </w:rPr>
      </w:pPr>
      <w:r>
        <w:rPr>
          <w:rFonts w:hint="eastAsia" w:ascii="宋体" w:hAnsi="宋体" w:cs="宋体"/>
          <w:bCs/>
          <w:sz w:val="21"/>
          <w:szCs w:val="21"/>
        </w:rPr>
        <w:t>一、根据</w:t>
      </w:r>
      <w:r>
        <w:rPr>
          <w:rFonts w:hint="eastAsia" w:ascii="宋体" w:hAnsi="宋体" w:cs="宋体"/>
          <w:bCs/>
          <w:sz w:val="21"/>
          <w:szCs w:val="21"/>
          <w:lang w:eastAsia="zh-CN"/>
        </w:rPr>
        <w:t>《中华人民共和国民法典》</w:t>
      </w:r>
      <w:r>
        <w:rPr>
          <w:rFonts w:hint="eastAsia" w:ascii="宋体" w:hAnsi="宋体" w:cs="宋体"/>
          <w:bCs/>
          <w:sz w:val="21"/>
          <w:szCs w:val="21"/>
        </w:rPr>
        <w:t>及其他有关法律、法规之规定</w:t>
      </w:r>
      <w:r>
        <w:rPr>
          <w:rFonts w:hint="eastAsia" w:ascii="宋体" w:hAnsi="宋体" w:cs="宋体"/>
          <w:bCs/>
          <w:sz w:val="21"/>
          <w:szCs w:val="21"/>
          <w:lang w:eastAsia="zh-CN"/>
        </w:rPr>
        <w:t>，</w:t>
      </w:r>
      <w:r>
        <w:rPr>
          <w:rFonts w:hint="eastAsia" w:ascii="宋体" w:hAnsi="宋体" w:cs="宋体"/>
          <w:bCs/>
          <w:sz w:val="21"/>
          <w:szCs w:val="21"/>
        </w:rPr>
        <w:t>甲、乙双方在平等自愿、协商一致的基础上</w:t>
      </w:r>
      <w:r>
        <w:rPr>
          <w:rFonts w:hint="eastAsia" w:ascii="宋体" w:hAnsi="宋体" w:cs="宋体"/>
          <w:bCs/>
          <w:sz w:val="21"/>
          <w:szCs w:val="21"/>
          <w:lang w:eastAsia="zh-CN"/>
        </w:rPr>
        <w:t>，</w:t>
      </w:r>
      <w:r>
        <w:rPr>
          <w:rFonts w:hint="eastAsia" w:ascii="宋体" w:hAnsi="宋体" w:cs="宋体"/>
          <w:bCs/>
          <w:sz w:val="21"/>
          <w:szCs w:val="21"/>
        </w:rPr>
        <w:t>同意就甲方委托乙方为其进行不动产登记产权和抵押档案归档整理服务工作按照下列条款签订本合同</w:t>
      </w:r>
      <w:r>
        <w:rPr>
          <w:rFonts w:hint="eastAsia" w:ascii="宋体" w:hAnsi="宋体" w:cs="宋体"/>
          <w:bCs/>
          <w:sz w:val="21"/>
          <w:szCs w:val="21"/>
          <w:lang w:eastAsia="zh-CN"/>
        </w:rPr>
        <w:t>，</w:t>
      </w:r>
      <w:r>
        <w:rPr>
          <w:rFonts w:hint="eastAsia" w:ascii="宋体" w:hAnsi="宋体" w:cs="宋体"/>
          <w:bCs/>
          <w:sz w:val="21"/>
          <w:szCs w:val="21"/>
        </w:rPr>
        <w:t>以资共同遵守</w:t>
      </w:r>
      <w:r>
        <w:rPr>
          <w:rFonts w:hint="eastAsia" w:ascii="宋体" w:hAnsi="宋体" w:cs="宋体"/>
          <w:bCs/>
          <w:sz w:val="21"/>
          <w:szCs w:val="21"/>
          <w:lang w:eastAsia="zh-CN"/>
        </w:rPr>
        <w:t>：</w:t>
      </w:r>
    </w:p>
    <w:p w14:paraId="145CF8BB">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33" w:name="_Toc25361_WPSOffice_Level2"/>
      <w:bookmarkStart w:id="34" w:name="_Toc30216_WPSOffice_Level2"/>
      <w:bookmarkStart w:id="35" w:name="_Toc21601"/>
      <w:bookmarkStart w:id="36" w:name="_Toc22279_WPSOffice_Level2"/>
      <w:r>
        <w:rPr>
          <w:rFonts w:hint="eastAsia" w:ascii="宋体" w:hAnsi="宋体" w:eastAsia="宋体" w:cs="宋体"/>
          <w:b/>
          <w:bCs w:val="0"/>
          <w:sz w:val="21"/>
          <w:szCs w:val="21"/>
        </w:rPr>
        <w:t>第一条 整理概况</w:t>
      </w:r>
      <w:bookmarkEnd w:id="33"/>
      <w:bookmarkEnd w:id="34"/>
      <w:bookmarkEnd w:id="35"/>
      <w:bookmarkEnd w:id="36"/>
    </w:p>
    <w:p w14:paraId="5CA264C4">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eastAsia="zh-CN"/>
        </w:rPr>
        <w:t>（一）</w:t>
      </w:r>
      <w:r>
        <w:rPr>
          <w:rFonts w:hint="eastAsia" w:ascii="宋体" w:hAnsi="宋体" w:eastAsia="宋体" w:cs="宋体"/>
          <w:bCs/>
          <w:sz w:val="21"/>
          <w:szCs w:val="21"/>
        </w:rPr>
        <w:t>整理类别</w:t>
      </w:r>
      <w:r>
        <w:rPr>
          <w:rFonts w:hint="eastAsia" w:ascii="宋体" w:hAnsi="宋体" w:eastAsia="宋体" w:cs="宋体"/>
          <w:bCs/>
          <w:sz w:val="21"/>
          <w:szCs w:val="21"/>
          <w:lang w:eastAsia="zh-CN"/>
        </w:rPr>
        <w:t>：不动产登记档案</w:t>
      </w:r>
      <w:r>
        <w:rPr>
          <w:rFonts w:hint="eastAsia" w:ascii="宋体" w:hAnsi="宋体" w:eastAsia="宋体" w:cs="宋体"/>
          <w:bCs/>
          <w:sz w:val="21"/>
          <w:szCs w:val="21"/>
        </w:rPr>
        <w:t>；</w:t>
      </w:r>
    </w:p>
    <w:p w14:paraId="7894896C">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（二）整理内容</w:t>
      </w:r>
      <w:r>
        <w:rPr>
          <w:rFonts w:hint="eastAsia" w:ascii="宋体" w:hAnsi="宋体" w:eastAsia="宋体" w:cs="宋体"/>
          <w:bCs/>
          <w:sz w:val="21"/>
          <w:szCs w:val="21"/>
          <w:lang w:eastAsia="zh-CN"/>
        </w:rPr>
        <w:t>：本项目为郑州市自然资源和规划局高新分局不动产交易和登记中心2024-2026年度产生各类业务档案（纸质及电子）等文件进场档案管理，包括文件资料的排序和编写页码、卷内文件目录和备考表的编制、纸质档案的数字化、封皮和档案盒的编制、档案的装订和入库排列以及上架等内容，具体数量以郑州市自然资源和规划局高新分局不动产登记和房地产交易中心核定为准</w:t>
      </w:r>
      <w:r>
        <w:rPr>
          <w:rFonts w:hint="eastAsia" w:ascii="宋体" w:hAnsi="宋体" w:eastAsia="宋体" w:cs="宋体"/>
          <w:bCs/>
          <w:sz w:val="21"/>
          <w:szCs w:val="21"/>
        </w:rPr>
        <w:t>；</w:t>
      </w:r>
    </w:p>
    <w:p w14:paraId="4623F6E5">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default" w:ascii="宋体" w:hAnsi="宋体" w:eastAsia="宋体" w:cs="宋体"/>
          <w:bCs/>
          <w:sz w:val="21"/>
          <w:szCs w:val="21"/>
          <w:u w:val="single"/>
          <w:lang w:val="en-US"/>
        </w:rPr>
      </w:pPr>
      <w:r>
        <w:rPr>
          <w:rFonts w:hint="eastAsia" w:ascii="宋体" w:hAnsi="宋体" w:eastAsia="宋体" w:cs="宋体"/>
          <w:bCs/>
          <w:sz w:val="21"/>
          <w:szCs w:val="21"/>
        </w:rPr>
        <w:t>(三)</w:t>
      </w:r>
      <w:r>
        <w:rPr>
          <w:rFonts w:hint="eastAsia" w:cs="宋体"/>
          <w:bCs/>
          <w:sz w:val="21"/>
          <w:szCs w:val="21"/>
          <w:lang w:val="en-US" w:eastAsia="zh-CN"/>
        </w:rPr>
        <w:t>服务期限</w:t>
      </w:r>
      <w:r>
        <w:rPr>
          <w:rFonts w:hint="eastAsia" w:ascii="宋体" w:hAnsi="宋体" w:eastAsia="宋体" w:cs="宋体"/>
          <w:bCs/>
          <w:sz w:val="21"/>
          <w:szCs w:val="21"/>
          <w:lang w:eastAsia="zh-CN"/>
        </w:rPr>
        <w:t>：</w:t>
      </w:r>
      <w:r>
        <w:rPr>
          <w:rFonts w:hint="eastAsia" w:cs="宋体"/>
          <w:bCs/>
          <w:sz w:val="21"/>
          <w:szCs w:val="21"/>
          <w:u w:val="single"/>
          <w:lang w:val="en-US" w:eastAsia="zh-CN"/>
        </w:rPr>
        <w:t xml:space="preserve">  自合同签订之日起一年（经采购人考核合格，可续签下一年度合同，最多续签两年）</w:t>
      </w:r>
    </w:p>
    <w:p w14:paraId="06D3DD1F">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37" w:name="_Toc19054_WPSOffice_Level2"/>
      <w:bookmarkStart w:id="38" w:name="_Toc5743_WPSOffice_Level2"/>
      <w:bookmarkStart w:id="39" w:name="_Toc28433_WPSOffice_Level2"/>
      <w:bookmarkStart w:id="40" w:name="_Toc11665"/>
      <w:r>
        <w:rPr>
          <w:rFonts w:hint="eastAsia" w:ascii="宋体" w:hAnsi="宋体" w:eastAsia="宋体" w:cs="宋体"/>
          <w:b/>
          <w:bCs w:val="0"/>
          <w:sz w:val="21"/>
          <w:szCs w:val="21"/>
        </w:rPr>
        <w:t>第二条 整理价款</w:t>
      </w:r>
      <w:bookmarkEnd w:id="37"/>
      <w:bookmarkEnd w:id="38"/>
      <w:bookmarkEnd w:id="39"/>
      <w:bookmarkEnd w:id="40"/>
    </w:p>
    <w:p w14:paraId="7039E325">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highlight w:val="none"/>
          <w:u w:val="none"/>
          <w:lang w:eastAsia="zh-CN"/>
        </w:rPr>
      </w:pPr>
      <w:r>
        <w:rPr>
          <w:rFonts w:hint="eastAsia" w:ascii="宋体" w:hAnsi="宋体" w:eastAsia="宋体" w:cs="宋体"/>
          <w:bCs/>
          <w:color w:val="auto"/>
          <w:sz w:val="21"/>
          <w:szCs w:val="21"/>
          <w:highlight w:val="none"/>
          <w:lang w:val="en-US" w:eastAsia="zh-CN"/>
        </w:rPr>
        <w:t>整体外包服务合同固定单价为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元/卷，</w:t>
      </w:r>
      <w:r>
        <w:rPr>
          <w:rFonts w:hint="eastAsia" w:cs="宋体"/>
          <w:bCs/>
          <w:color w:val="auto"/>
          <w:sz w:val="21"/>
          <w:szCs w:val="21"/>
          <w:highlight w:val="none"/>
          <w:lang w:val="en-US" w:eastAsia="zh-CN"/>
        </w:rPr>
        <w:t>第一年合同</w:t>
      </w:r>
      <w:r>
        <w:rPr>
          <w:rFonts w:hint="eastAsia" w:ascii="宋体" w:hAnsi="宋体" w:eastAsia="宋体" w:cs="宋体"/>
          <w:bCs/>
          <w:color w:val="auto"/>
          <w:sz w:val="21"/>
          <w:szCs w:val="21"/>
          <w:highlight w:val="none"/>
          <w:lang w:val="en-US" w:eastAsia="zh-CN"/>
        </w:rPr>
        <w:t>总金额为人民币（大写）：</w:t>
      </w:r>
      <w:r>
        <w:rPr>
          <w:rFonts w:hint="eastAsia" w:ascii="宋体" w:hAnsi="宋体" w:eastAsia="宋体" w:cs="宋体"/>
          <w:bCs/>
          <w:color w:val="auto"/>
          <w:sz w:val="21"/>
          <w:szCs w:val="21"/>
          <w:highlight w:val="none"/>
          <w:u w:val="single"/>
          <w:lang w:val="en-US" w:eastAsia="zh-CN"/>
        </w:rPr>
        <w:t xml:space="preserve"> </w:t>
      </w:r>
      <w:r>
        <w:rPr>
          <w:rFonts w:hint="eastAsia" w:cs="宋体"/>
          <w:bCs/>
          <w:color w:val="auto"/>
          <w:sz w:val="21"/>
          <w:szCs w:val="21"/>
          <w:highlight w:val="none"/>
          <w:u w:val="single"/>
          <w:lang w:val="en-US" w:eastAsia="zh-CN"/>
        </w:rPr>
        <w:t>陆拾万元整</w:t>
      </w:r>
      <w:r>
        <w:rPr>
          <w:rFonts w:hint="eastAsia" w:ascii="宋体" w:hAnsi="宋体" w:eastAsia="宋体" w:cs="宋体"/>
          <w:bCs/>
          <w:sz w:val="21"/>
          <w:szCs w:val="21"/>
          <w:highlight w:val="none"/>
          <w:u w:val="none"/>
        </w:rPr>
        <w:t>(</w:t>
      </w:r>
      <w:r>
        <w:rPr>
          <w:rFonts w:hint="eastAsia" w:ascii="宋体" w:hAnsi="宋体" w:eastAsia="宋体" w:cs="宋体"/>
          <w:bCs/>
          <w:sz w:val="21"/>
          <w:szCs w:val="21"/>
          <w:highlight w:val="none"/>
          <w:u w:val="none"/>
          <w:lang w:eastAsia="zh-CN"/>
        </w:rPr>
        <w:t>小写：</w:t>
      </w:r>
      <w:r>
        <w:rPr>
          <w:rFonts w:hint="eastAsia" w:ascii="宋体" w:hAnsi="宋体" w:eastAsia="宋体" w:cs="宋体"/>
          <w:bCs/>
          <w:sz w:val="21"/>
          <w:szCs w:val="21"/>
          <w:highlight w:val="none"/>
          <w:u w:val="single"/>
        </w:rPr>
        <w:t xml:space="preserve"> </w:t>
      </w:r>
      <w:r>
        <w:rPr>
          <w:rFonts w:hint="eastAsia" w:cs="宋体"/>
          <w:bCs/>
          <w:sz w:val="21"/>
          <w:szCs w:val="21"/>
          <w:highlight w:val="none"/>
          <w:u w:val="single"/>
          <w:lang w:val="en-US" w:eastAsia="zh-CN"/>
        </w:rPr>
        <w:t>600000.00元</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none"/>
        </w:rPr>
        <w:t>)（后续年度金额以财政审批为准）</w:t>
      </w:r>
      <w:r>
        <w:rPr>
          <w:rFonts w:hint="eastAsia" w:ascii="宋体" w:hAnsi="宋体" w:eastAsia="宋体" w:cs="宋体"/>
          <w:bCs/>
          <w:sz w:val="21"/>
          <w:szCs w:val="21"/>
          <w:highlight w:val="none"/>
          <w:u w:val="none"/>
          <w:lang w:eastAsia="zh-CN"/>
        </w:rPr>
        <w:t>。</w:t>
      </w:r>
    </w:p>
    <w:p w14:paraId="7C91D686">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41" w:name="_Toc21175_WPSOffice_Level2"/>
      <w:bookmarkStart w:id="42" w:name="_Toc9629_WPSOffice_Level2"/>
      <w:bookmarkStart w:id="43" w:name="_Toc25415"/>
      <w:bookmarkStart w:id="44" w:name="_Toc12935_WPSOffice_Level2"/>
      <w:r>
        <w:rPr>
          <w:rFonts w:hint="eastAsia" w:ascii="宋体" w:hAnsi="宋体" w:eastAsia="宋体" w:cs="宋体"/>
          <w:b/>
          <w:bCs w:val="0"/>
          <w:sz w:val="21"/>
          <w:szCs w:val="21"/>
        </w:rPr>
        <w:t>第三条 整理质量</w:t>
      </w:r>
      <w:bookmarkEnd w:id="41"/>
      <w:bookmarkEnd w:id="42"/>
      <w:bookmarkEnd w:id="43"/>
      <w:bookmarkEnd w:id="44"/>
    </w:p>
    <w:p w14:paraId="2F0DF6DB">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(一)按照</w:t>
      </w:r>
      <w:r>
        <w:rPr>
          <w:rFonts w:hint="eastAsia" w:ascii="宋体" w:hAnsi="宋体" w:eastAsia="宋体" w:cs="宋体"/>
          <w:bCs/>
          <w:sz w:val="21"/>
          <w:szCs w:val="21"/>
          <w:lang w:eastAsia="zh-CN"/>
        </w:rPr>
        <w:t>郑州市不动产登记中心</w:t>
      </w:r>
      <w:r>
        <w:rPr>
          <w:rFonts w:hint="eastAsia" w:ascii="宋体" w:hAnsi="宋体" w:eastAsia="宋体" w:cs="宋体"/>
          <w:bCs/>
          <w:sz w:val="21"/>
          <w:szCs w:val="21"/>
        </w:rPr>
        <w:t>关于档案归档、立卷规定(见附件一)执行,规定不明确的, 按照行业规定或者行业习惯执行。</w:t>
      </w:r>
    </w:p>
    <w:p w14:paraId="1E44E05B">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二)在档案整理过程中,甲方如有特殊项目或者特殊质量要求,应明确告知乙方。乙方因遵循甲方要求之方式整理档案而实际上造成档案整理质量不合要求的,乙方不承担责任。同时,因甲方之特殊要求给乙方增加劳动量的,甲方应额外支付补偿费用,具体需要双方签订补充合同另行约定。</w:t>
      </w:r>
    </w:p>
    <w:p w14:paraId="1AA6DC62">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45" w:name="_Toc18386_WPSOffice_Level2"/>
      <w:bookmarkStart w:id="46" w:name="_Toc10817_WPSOffice_Level2"/>
      <w:bookmarkStart w:id="47" w:name="_Toc21263_WPSOffice_Level2"/>
      <w:bookmarkStart w:id="48" w:name="_Toc29767"/>
      <w:r>
        <w:rPr>
          <w:rFonts w:hint="eastAsia" w:ascii="宋体" w:hAnsi="宋体" w:eastAsia="宋体" w:cs="宋体"/>
          <w:b/>
          <w:bCs w:val="0"/>
          <w:sz w:val="21"/>
          <w:szCs w:val="21"/>
        </w:rPr>
        <w:t>第四条 甲方责任</w:t>
      </w:r>
      <w:bookmarkEnd w:id="45"/>
      <w:bookmarkEnd w:id="46"/>
      <w:bookmarkEnd w:id="47"/>
      <w:bookmarkEnd w:id="48"/>
    </w:p>
    <w:p w14:paraId="5424A972">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一</w:t>
      </w:r>
      <w:r>
        <w:rPr>
          <w:rFonts w:hint="eastAsia" w:ascii="宋体" w:hAnsi="宋体" w:eastAsia="宋体" w:cs="宋体"/>
          <w:bCs/>
          <w:sz w:val="21"/>
          <w:szCs w:val="21"/>
          <w:lang w:eastAsia="zh-CN"/>
        </w:rPr>
        <w:t>）</w:t>
      </w:r>
      <w:r>
        <w:rPr>
          <w:rFonts w:hint="eastAsia" w:ascii="宋体" w:hAnsi="宋体" w:eastAsia="宋体" w:cs="宋体"/>
          <w:bCs/>
          <w:sz w:val="21"/>
          <w:szCs w:val="21"/>
        </w:rPr>
        <w:t>负责向乙方介绍、解释整理概况、整理内容等相关工作的基本情况。</w:t>
      </w:r>
    </w:p>
    <w:p w14:paraId="6FF02DAC">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二</w:t>
      </w:r>
      <w:r>
        <w:rPr>
          <w:rFonts w:hint="eastAsia" w:ascii="宋体" w:hAnsi="宋体" w:eastAsia="宋体" w:cs="宋体"/>
          <w:bCs/>
          <w:sz w:val="21"/>
          <w:szCs w:val="21"/>
          <w:lang w:eastAsia="zh-CN"/>
        </w:rPr>
        <w:t>）</w:t>
      </w:r>
      <w:r>
        <w:rPr>
          <w:rFonts w:hint="eastAsia" w:ascii="宋体" w:hAnsi="宋体" w:eastAsia="宋体" w:cs="宋体"/>
          <w:bCs/>
          <w:sz w:val="21"/>
          <w:szCs w:val="21"/>
        </w:rPr>
        <w:t>负责按照第二条规定的整理价款支付方式向乙方支付约定费用。</w:t>
      </w:r>
    </w:p>
    <w:p w14:paraId="7E0B261A">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三</w:t>
      </w:r>
      <w:r>
        <w:rPr>
          <w:rFonts w:hint="eastAsia" w:ascii="宋体" w:hAnsi="宋体" w:eastAsia="宋体" w:cs="宋体"/>
          <w:bCs/>
          <w:sz w:val="21"/>
          <w:szCs w:val="21"/>
          <w:lang w:eastAsia="zh-CN"/>
        </w:rPr>
        <w:t>）</w:t>
      </w:r>
      <w:r>
        <w:rPr>
          <w:rFonts w:hint="eastAsia" w:ascii="宋体" w:hAnsi="宋体" w:eastAsia="宋体" w:cs="宋体"/>
          <w:bCs/>
          <w:sz w:val="21"/>
          <w:szCs w:val="21"/>
        </w:rPr>
        <w:t>为乙方服务工作提供必要的协助和配合。</w:t>
      </w:r>
    </w:p>
    <w:p w14:paraId="50C43F6B">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四</w:t>
      </w:r>
      <w:r>
        <w:rPr>
          <w:rFonts w:hint="eastAsia" w:ascii="宋体" w:hAnsi="宋体" w:eastAsia="宋体" w:cs="宋体"/>
          <w:bCs/>
          <w:sz w:val="21"/>
          <w:szCs w:val="21"/>
          <w:lang w:eastAsia="zh-CN"/>
        </w:rPr>
        <w:t>）</w:t>
      </w:r>
      <w:r>
        <w:rPr>
          <w:rFonts w:hint="eastAsia" w:ascii="宋体" w:hAnsi="宋体" w:eastAsia="宋体" w:cs="宋体"/>
          <w:bCs/>
          <w:sz w:val="21"/>
          <w:szCs w:val="21"/>
        </w:rPr>
        <w:t>对乙方整理的档案进行检查验收。</w:t>
      </w:r>
    </w:p>
    <w:p w14:paraId="3D23C59B">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49" w:name="_Toc3316_WPSOffice_Level2"/>
      <w:bookmarkStart w:id="50" w:name="_Toc15275_WPSOffice_Level2"/>
      <w:bookmarkStart w:id="51" w:name="_Toc2319"/>
      <w:bookmarkStart w:id="52" w:name="_Toc3665_WPSOffice_Level2"/>
      <w:r>
        <w:rPr>
          <w:rFonts w:hint="eastAsia" w:ascii="宋体" w:hAnsi="宋体" w:eastAsia="宋体" w:cs="宋体"/>
          <w:b/>
          <w:bCs w:val="0"/>
          <w:sz w:val="21"/>
          <w:szCs w:val="21"/>
        </w:rPr>
        <w:t>第五条 乙方责任</w:t>
      </w:r>
      <w:bookmarkEnd w:id="49"/>
      <w:bookmarkEnd w:id="50"/>
      <w:bookmarkEnd w:id="51"/>
      <w:bookmarkEnd w:id="52"/>
    </w:p>
    <w:p w14:paraId="320A6EC4">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一</w:t>
      </w:r>
      <w:r>
        <w:rPr>
          <w:rFonts w:hint="eastAsia" w:ascii="宋体" w:hAnsi="宋体" w:eastAsia="宋体" w:cs="宋体"/>
          <w:bCs/>
          <w:sz w:val="21"/>
          <w:szCs w:val="21"/>
          <w:lang w:eastAsia="zh-CN"/>
        </w:rPr>
        <w:t>）</w:t>
      </w:r>
      <w:r>
        <w:rPr>
          <w:rFonts w:hint="eastAsia" w:ascii="宋体" w:hAnsi="宋体" w:eastAsia="宋体" w:cs="宋体"/>
          <w:bCs/>
          <w:sz w:val="21"/>
          <w:szCs w:val="21"/>
        </w:rPr>
        <w:t>在合同约定期限内为甲方提供档案整理服务工作,按照国家关于档案管理的规定对档案进行专业的、规范的整理,并对整理质量负责。</w:t>
      </w:r>
    </w:p>
    <w:p w14:paraId="68E414F1">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(二)负责对乙方派出人员进行保密教育和安全教育,佩证上岗、文明工作,对整理期间出现的文件内容泄密、文件材料丢失等后果, 责任一概由乙方承担。(详见附件二)</w:t>
      </w:r>
    </w:p>
    <w:p w14:paraId="11BA895F">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53" w:name="_Toc6419_WPSOffice_Level2"/>
      <w:bookmarkStart w:id="54" w:name="_Toc6343"/>
      <w:bookmarkStart w:id="55" w:name="_Toc8408_WPSOffice_Level2"/>
      <w:bookmarkStart w:id="56" w:name="_Toc23292_WPSOffice_Level2"/>
      <w:r>
        <w:rPr>
          <w:rFonts w:hint="eastAsia" w:ascii="宋体" w:hAnsi="宋体" w:eastAsia="宋体" w:cs="宋体"/>
          <w:b/>
          <w:bCs w:val="0"/>
          <w:sz w:val="21"/>
          <w:szCs w:val="21"/>
        </w:rPr>
        <w:t>第六条 付款方式</w:t>
      </w:r>
      <w:bookmarkEnd w:id="53"/>
      <w:bookmarkEnd w:id="54"/>
      <w:bookmarkEnd w:id="55"/>
      <w:bookmarkEnd w:id="56"/>
    </w:p>
    <w:p w14:paraId="0455BAFB">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（一）付款节点</w:t>
      </w:r>
    </w:p>
    <w:p w14:paraId="629B9B32">
      <w:pPr>
        <w:keepNext w:val="0"/>
        <w:keepLines w:val="0"/>
        <w:pageBreakBefore w:val="0"/>
        <w:widowControl/>
        <w:kinsoku/>
        <w:wordWrap/>
        <w:overflowPunct/>
        <w:topLinePunct w:val="0"/>
        <w:autoSpaceDE/>
        <w:autoSpaceDN/>
        <w:bidi w:val="0"/>
        <w:adjustRightInd/>
        <w:snapToGrid/>
        <w:spacing w:after="0" w:line="500" w:lineRule="exact"/>
        <w:ind w:firstLine="422" w:firstLineChars="200"/>
        <w:jc w:val="left"/>
        <w:textAlignment w:val="auto"/>
        <w:rPr>
          <w:rStyle w:val="97"/>
          <w:rFonts w:hint="eastAsia" w:ascii="Times New Roman" w:hAnsi="Times New Roman" w:cs="仿宋_GB2312"/>
          <w:b/>
          <w:bCs/>
          <w:iCs/>
          <w:color w:val="auto"/>
          <w:sz w:val="21"/>
          <w:szCs w:val="21"/>
          <w:highlight w:val="none"/>
          <w:lang w:val="en-US" w:eastAsia="zh-CN"/>
        </w:rPr>
      </w:pPr>
      <w:r>
        <w:rPr>
          <w:rStyle w:val="97"/>
          <w:rFonts w:hint="eastAsia" w:ascii="Times New Roman" w:hAnsi="Times New Roman" w:cs="仿宋_GB2312"/>
          <w:b/>
          <w:bCs/>
          <w:iCs/>
          <w:color w:val="auto"/>
          <w:sz w:val="21"/>
          <w:szCs w:val="21"/>
          <w:highlight w:val="none"/>
          <w:lang w:val="en-US" w:eastAsia="zh-CN"/>
        </w:rPr>
        <w:t>1、第一次付款:合同签订且生效之日起</w:t>
      </w:r>
      <w:r>
        <w:rPr>
          <w:rStyle w:val="97"/>
          <w:rFonts w:hint="eastAsia" w:ascii="Times New Roman" w:hAnsi="Times New Roman" w:cs="仿宋_GB2312"/>
          <w:b/>
          <w:bCs/>
          <w:iCs/>
          <w:color w:val="auto"/>
          <w:sz w:val="21"/>
          <w:szCs w:val="21"/>
          <w:highlight w:val="none"/>
          <w:u w:val="single"/>
          <w:lang w:val="en-US" w:eastAsia="zh-CN"/>
        </w:rPr>
        <w:t>30</w:t>
      </w:r>
      <w:r>
        <w:rPr>
          <w:rStyle w:val="97"/>
          <w:rFonts w:hint="eastAsia" w:ascii="Times New Roman" w:hAnsi="Times New Roman" w:cs="仿宋_GB2312"/>
          <w:b/>
          <w:bCs/>
          <w:iCs/>
          <w:color w:val="auto"/>
          <w:sz w:val="21"/>
          <w:szCs w:val="21"/>
          <w:highlight w:val="none"/>
          <w:lang w:val="en-US" w:eastAsia="zh-CN"/>
        </w:rPr>
        <w:t>个工作日内，甲方向乙方支付当年合同总金额的 50%，</w:t>
      </w:r>
    </w:p>
    <w:p w14:paraId="746DBC54">
      <w:pPr>
        <w:keepNext w:val="0"/>
        <w:keepLines w:val="0"/>
        <w:pageBreakBefore w:val="0"/>
        <w:widowControl/>
        <w:kinsoku/>
        <w:wordWrap/>
        <w:overflowPunct/>
        <w:topLinePunct w:val="0"/>
        <w:autoSpaceDE/>
        <w:autoSpaceDN/>
        <w:bidi w:val="0"/>
        <w:adjustRightInd/>
        <w:snapToGrid/>
        <w:spacing w:after="0" w:line="500" w:lineRule="exact"/>
        <w:ind w:firstLine="422" w:firstLineChars="200"/>
        <w:jc w:val="left"/>
        <w:textAlignment w:val="auto"/>
        <w:rPr>
          <w:rStyle w:val="97"/>
          <w:rFonts w:hint="eastAsia" w:ascii="Times New Roman" w:hAnsi="Times New Roman" w:cs="仿宋_GB2312"/>
          <w:b/>
          <w:bCs/>
          <w:iCs/>
          <w:color w:val="auto"/>
          <w:sz w:val="21"/>
          <w:szCs w:val="21"/>
          <w:highlight w:val="none"/>
          <w:lang w:val="en-US" w:eastAsia="zh-CN"/>
        </w:rPr>
      </w:pPr>
      <w:r>
        <w:rPr>
          <w:rStyle w:val="97"/>
          <w:rFonts w:hint="eastAsia" w:ascii="Times New Roman" w:hAnsi="Times New Roman" w:cs="仿宋_GB2312"/>
          <w:b/>
          <w:bCs/>
          <w:iCs/>
          <w:color w:val="auto"/>
          <w:sz w:val="21"/>
          <w:szCs w:val="21"/>
          <w:highlight w:val="none"/>
          <w:lang w:val="en-US" w:eastAsia="zh-CN"/>
        </w:rPr>
        <w:t>2、第二次付款:乙方完成当年作业量的80%后，甲方向乙方支付当年合同总金额的30%，</w:t>
      </w:r>
    </w:p>
    <w:p w14:paraId="6FA35057">
      <w:pPr>
        <w:keepNext w:val="0"/>
        <w:keepLines w:val="0"/>
        <w:pageBreakBefore w:val="0"/>
        <w:widowControl/>
        <w:kinsoku/>
        <w:wordWrap/>
        <w:overflowPunct/>
        <w:topLinePunct w:val="0"/>
        <w:autoSpaceDE/>
        <w:autoSpaceDN/>
        <w:bidi w:val="0"/>
        <w:adjustRightInd/>
        <w:snapToGrid/>
        <w:spacing w:after="0" w:line="500" w:lineRule="exact"/>
        <w:ind w:firstLine="422" w:firstLineChars="200"/>
        <w:jc w:val="left"/>
        <w:textAlignment w:val="auto"/>
        <w:rPr>
          <w:rStyle w:val="97"/>
          <w:rFonts w:hint="eastAsia" w:ascii="Times New Roman" w:hAnsi="Times New Roman" w:cs="仿宋_GB2312"/>
          <w:b/>
          <w:bCs/>
          <w:iCs/>
          <w:color w:val="auto"/>
          <w:sz w:val="21"/>
          <w:szCs w:val="21"/>
          <w:highlight w:val="none"/>
          <w:lang w:val="en-US" w:eastAsia="zh-CN"/>
        </w:rPr>
      </w:pPr>
      <w:r>
        <w:rPr>
          <w:rStyle w:val="97"/>
          <w:rFonts w:hint="eastAsia" w:ascii="Times New Roman" w:hAnsi="Times New Roman" w:cs="仿宋_GB2312"/>
          <w:b/>
          <w:bCs/>
          <w:iCs/>
          <w:color w:val="auto"/>
          <w:sz w:val="21"/>
          <w:szCs w:val="21"/>
          <w:highlight w:val="none"/>
          <w:lang w:val="en-US" w:eastAsia="zh-CN"/>
        </w:rPr>
        <w:t>3、第三次付款:乙方按照采购人要求完成当年全部服务内容并验收合格，按照实际作业量*中标单价计算当年结算价，支付余款</w:t>
      </w:r>
    </w:p>
    <w:p w14:paraId="18CA5950">
      <w:pPr>
        <w:keepNext w:val="0"/>
        <w:keepLines w:val="0"/>
        <w:pageBreakBefore w:val="0"/>
        <w:widowControl/>
        <w:kinsoku/>
        <w:wordWrap/>
        <w:overflowPunct/>
        <w:topLinePunct w:val="0"/>
        <w:autoSpaceDE/>
        <w:autoSpaceDN/>
        <w:bidi w:val="0"/>
        <w:adjustRightInd/>
        <w:snapToGrid/>
        <w:spacing w:after="0" w:line="500" w:lineRule="exact"/>
        <w:ind w:firstLine="422" w:firstLineChars="200"/>
        <w:jc w:val="left"/>
        <w:textAlignment w:val="auto"/>
        <w:rPr>
          <w:rStyle w:val="97"/>
          <w:rFonts w:hint="eastAsia" w:ascii="Times New Roman" w:hAnsi="Times New Roman" w:cs="仿宋_GB2312"/>
          <w:b/>
          <w:bCs/>
          <w:iCs/>
          <w:color w:val="auto"/>
          <w:sz w:val="21"/>
          <w:szCs w:val="21"/>
          <w:highlight w:val="none"/>
          <w:lang w:val="en-US" w:eastAsia="zh-CN"/>
        </w:rPr>
      </w:pPr>
      <w:r>
        <w:rPr>
          <w:rStyle w:val="97"/>
          <w:rFonts w:hint="eastAsia" w:ascii="Times New Roman" w:hAnsi="Times New Roman" w:cs="仿宋_GB2312"/>
          <w:b/>
          <w:bCs/>
          <w:iCs/>
          <w:color w:val="auto"/>
          <w:sz w:val="21"/>
          <w:szCs w:val="21"/>
          <w:highlight w:val="none"/>
          <w:lang w:val="en-US" w:eastAsia="zh-CN"/>
        </w:rPr>
        <w:t>注:原则上按上述约定付款，如因财政拨付程序原因采购方未能约定拨付的，采购人将按实际拨付时间和拨付金额进行付款。</w:t>
      </w:r>
    </w:p>
    <w:p w14:paraId="1DCB283A">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（二）</w:t>
      </w:r>
      <w:r>
        <w:rPr>
          <w:rFonts w:hint="eastAsia" w:ascii="宋体" w:hAnsi="宋体" w:eastAsia="宋体" w:cs="宋体"/>
          <w:bCs/>
          <w:sz w:val="21"/>
          <w:szCs w:val="21"/>
          <w:highlight w:val="none"/>
        </w:rPr>
        <w:t>乙方同意并授权甲方将合同款项支付以下账户:</w:t>
      </w:r>
    </w:p>
    <w:p w14:paraId="06FAE350">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户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val="en-US" w:eastAsia="zh-CN"/>
        </w:rPr>
        <w:t xml:space="preserve">                                 </w:t>
      </w:r>
    </w:p>
    <w:p w14:paraId="662F5841">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开户行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val="en-US" w:eastAsia="zh-CN"/>
        </w:rPr>
        <w:t xml:space="preserve">                                 </w:t>
      </w:r>
    </w:p>
    <w:p w14:paraId="03475A51">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val="en-US" w:eastAsia="zh-CN"/>
        </w:rPr>
        <w:t xml:space="preserve">                                 </w:t>
      </w:r>
    </w:p>
    <w:p w14:paraId="6F177798">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kern w:val="2"/>
          <w:sz w:val="21"/>
          <w:szCs w:val="21"/>
          <w:highlight w:val="none"/>
          <w:lang w:val="en-US" w:eastAsia="zh-CN" w:bidi="ar-SA"/>
        </w:rPr>
        <w:t>账户信息若发生变更,乙方须书面通知甲方并取得甲方书面确认。</w:t>
      </w:r>
    </w:p>
    <w:p w14:paraId="452B50D3">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57" w:name="_Toc21296_WPSOffice_Level2"/>
      <w:bookmarkStart w:id="58" w:name="_Toc32451_WPSOffice_Level2"/>
      <w:bookmarkStart w:id="59" w:name="_Toc20255"/>
      <w:bookmarkStart w:id="60" w:name="_Toc12031_WPSOffice_Level2"/>
      <w:r>
        <w:rPr>
          <w:rFonts w:hint="eastAsia" w:ascii="宋体" w:hAnsi="宋体" w:eastAsia="宋体" w:cs="宋体"/>
          <w:b/>
          <w:bCs w:val="0"/>
          <w:sz w:val="21"/>
          <w:szCs w:val="21"/>
        </w:rPr>
        <w:t>第七条 合同变更和终止</w:t>
      </w:r>
      <w:bookmarkEnd w:id="57"/>
      <w:bookmarkEnd w:id="58"/>
      <w:bookmarkEnd w:id="59"/>
      <w:bookmarkEnd w:id="60"/>
    </w:p>
    <w:p w14:paraId="4394A9D8">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合同生效后,甲乙双方应严格履行,任何一方需要变更服务合同内容的,应与另一方协商,就变更事宜双方重新达成书面协议后方视同对本合同的变更。任何一方不得擅自变更合同内容, 否则视同违約。</w:t>
      </w:r>
    </w:p>
    <w:p w14:paraId="6146758B">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61" w:name="_Toc6102_WPSOffice_Level2"/>
      <w:bookmarkStart w:id="62" w:name="_Toc862_WPSOffice_Level2"/>
      <w:bookmarkStart w:id="63" w:name="_Toc28577_WPSOffice_Level2"/>
      <w:bookmarkStart w:id="64" w:name="_Toc19594"/>
      <w:r>
        <w:rPr>
          <w:rFonts w:hint="eastAsia" w:ascii="宋体" w:hAnsi="宋体" w:eastAsia="宋体" w:cs="宋体"/>
          <w:b/>
          <w:bCs w:val="0"/>
          <w:sz w:val="21"/>
          <w:szCs w:val="21"/>
        </w:rPr>
        <w:t>第八条 违约责任</w:t>
      </w:r>
      <w:bookmarkEnd w:id="61"/>
      <w:bookmarkEnd w:id="62"/>
      <w:bookmarkEnd w:id="63"/>
      <w:bookmarkEnd w:id="64"/>
    </w:p>
    <w:p w14:paraId="7D6C264E">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在合同履行期间,任何一方不得无故违反本合同,否则视为违约,违约方应按照合同总价款的10%向对方支付违约金,实际损失大于违约金的,对差额都分,违约方应予以补足。</w:t>
      </w:r>
    </w:p>
    <w:p w14:paraId="7FC0FD85">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65" w:name="_Toc9302_WPSOffice_Level2"/>
      <w:bookmarkStart w:id="66" w:name="_Toc10593_WPSOffice_Level2"/>
      <w:bookmarkStart w:id="67" w:name="_Toc16420"/>
      <w:bookmarkStart w:id="68" w:name="_Toc13805_WPSOffice_Level2"/>
      <w:r>
        <w:rPr>
          <w:rFonts w:hint="eastAsia" w:ascii="宋体" w:hAnsi="宋体" w:eastAsia="宋体" w:cs="宋体"/>
          <w:b/>
          <w:bCs w:val="0"/>
          <w:sz w:val="21"/>
          <w:szCs w:val="21"/>
        </w:rPr>
        <w:t>第九条 争议解决</w:t>
      </w:r>
      <w:bookmarkEnd w:id="65"/>
      <w:bookmarkEnd w:id="66"/>
      <w:bookmarkEnd w:id="67"/>
      <w:bookmarkEnd w:id="68"/>
    </w:p>
    <w:p w14:paraId="0FC287E4">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本合同在履行过程中如发生争议,双方应协商解决,如不能协商一致时,双方可以向合同签定所在地的人民法院起诉。</w:t>
      </w:r>
    </w:p>
    <w:p w14:paraId="30A9EDE3">
      <w:pPr>
        <w:keepNext w:val="0"/>
        <w:keepLines w:val="0"/>
        <w:pageBreakBefore w:val="0"/>
        <w:widowControl/>
        <w:kinsoku/>
        <w:wordWrap/>
        <w:overflowPunct/>
        <w:topLinePunct w:val="0"/>
        <w:autoSpaceDE/>
        <w:autoSpaceDN/>
        <w:bidi w:val="0"/>
        <w:adjustRightInd/>
        <w:snapToGrid/>
        <w:spacing w:after="0" w:line="500" w:lineRule="exact"/>
        <w:ind w:firstLine="422" w:firstLineChars="200"/>
        <w:outlineLvl w:val="9"/>
        <w:rPr>
          <w:rFonts w:hint="eastAsia" w:ascii="宋体" w:hAnsi="宋体" w:eastAsia="宋体" w:cs="宋体"/>
          <w:b/>
          <w:bCs w:val="0"/>
          <w:sz w:val="21"/>
          <w:szCs w:val="21"/>
        </w:rPr>
      </w:pPr>
      <w:bookmarkStart w:id="69" w:name="_Toc15033_WPSOffice_Level2"/>
      <w:bookmarkStart w:id="70" w:name="_Toc2176_WPSOffice_Level2"/>
      <w:bookmarkStart w:id="71" w:name="_Toc20704_WPSOffice_Level2"/>
      <w:bookmarkStart w:id="72" w:name="_Toc31284"/>
      <w:r>
        <w:rPr>
          <w:rFonts w:hint="eastAsia" w:ascii="宋体" w:hAnsi="宋体" w:eastAsia="宋体" w:cs="宋体"/>
          <w:b/>
          <w:bCs w:val="0"/>
          <w:sz w:val="21"/>
          <w:szCs w:val="21"/>
        </w:rPr>
        <w:t>第十条 其他</w:t>
      </w:r>
      <w:bookmarkEnd w:id="69"/>
      <w:bookmarkEnd w:id="70"/>
      <w:bookmarkEnd w:id="71"/>
      <w:bookmarkEnd w:id="72"/>
    </w:p>
    <w:p w14:paraId="24501452">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本合同未尽事宜,双方应补充约定。补充协议是本合同不可分割部分。具同等效力。补充协议与本合同冲突的,视同本合同变更,以补充协议为准。</w:t>
      </w:r>
    </w:p>
    <w:p w14:paraId="4421C997">
      <w:pPr>
        <w:keepNext w:val="0"/>
        <w:keepLines w:val="0"/>
        <w:pageBreakBefore w:val="0"/>
        <w:widowControl/>
        <w:kinsoku/>
        <w:wordWrap/>
        <w:overflowPunct/>
        <w:topLinePunct w:val="0"/>
        <w:autoSpaceDE/>
        <w:autoSpaceDN/>
        <w:bidi w:val="0"/>
        <w:adjustRightInd/>
        <w:snapToGrid/>
        <w:spacing w:after="0" w:line="5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本合同一式五份，甲乙双方各执二份，监督机构备案一份。</w:t>
      </w:r>
    </w:p>
    <w:p w14:paraId="42FB4C49">
      <w:pPr>
        <w:pStyle w:val="2"/>
        <w:keepNext w:val="0"/>
        <w:keepLines w:val="0"/>
        <w:pageBreakBefore w:val="0"/>
        <w:widowControl/>
        <w:kinsoku/>
        <w:wordWrap/>
        <w:overflowPunct/>
        <w:topLinePunct w:val="0"/>
        <w:autoSpaceDE/>
        <w:autoSpaceDN/>
        <w:bidi w:val="0"/>
        <w:adjustRightInd/>
        <w:snapToGrid/>
        <w:spacing w:after="0" w:line="500" w:lineRule="exact"/>
        <w:rPr>
          <w:rFonts w:hint="eastAsia" w:ascii="宋体" w:hAnsi="宋体" w:eastAsia="宋体" w:cs="宋体"/>
          <w:bCs/>
          <w:sz w:val="21"/>
          <w:szCs w:val="21"/>
        </w:rPr>
      </w:pPr>
    </w:p>
    <w:p w14:paraId="7FC16FDD">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textAlignment w:val="baseline"/>
        <w:outlineLvl w:val="9"/>
        <w:rPr>
          <w:rFonts w:hint="eastAsia" w:ascii="宋体" w:hAnsi="宋体" w:eastAsia="宋体" w:cs="宋体"/>
          <w:bCs/>
          <w:sz w:val="21"/>
          <w:szCs w:val="21"/>
          <w:lang w:eastAsia="zh-CN"/>
        </w:rPr>
      </w:pPr>
      <w:r>
        <w:rPr>
          <w:rFonts w:hint="eastAsia" w:ascii="宋体" w:hAnsi="宋体" w:eastAsia="宋体" w:cs="宋体"/>
          <w:bCs/>
          <w:sz w:val="21"/>
          <w:szCs w:val="21"/>
        </w:rPr>
        <w:t>甲方（盖章）</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乙方（盖章）</w:t>
      </w:r>
      <w:r>
        <w:rPr>
          <w:rFonts w:hint="eastAsia" w:ascii="宋体" w:hAnsi="宋体" w:eastAsia="宋体" w:cs="宋体"/>
          <w:bCs/>
          <w:sz w:val="21"/>
          <w:szCs w:val="21"/>
          <w:lang w:eastAsia="zh-CN"/>
        </w:rPr>
        <w:t>：</w:t>
      </w:r>
    </w:p>
    <w:p w14:paraId="3EE3298D">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outlineLvl w:val="9"/>
        <w:rPr>
          <w:rFonts w:hint="eastAsia" w:ascii="宋体" w:hAnsi="宋体" w:eastAsia="宋体" w:cs="宋体"/>
          <w:bCs/>
          <w:sz w:val="21"/>
          <w:szCs w:val="21"/>
          <w:lang w:eastAsia="zh-CN"/>
        </w:rPr>
      </w:pPr>
    </w:p>
    <w:p w14:paraId="7FFF96A7">
      <w:pPr>
        <w:keepNext w:val="0"/>
        <w:keepLines w:val="0"/>
        <w:pageBreakBefore w:val="0"/>
        <w:widowControl/>
        <w:kinsoku/>
        <w:wordWrap/>
        <w:overflowPunct/>
        <w:topLinePunct w:val="0"/>
        <w:autoSpaceDE/>
        <w:autoSpaceDN/>
        <w:bidi w:val="0"/>
        <w:adjustRightInd/>
        <w:snapToGrid/>
        <w:spacing w:after="0" w:line="500" w:lineRule="exact"/>
        <w:textAlignment w:val="baseline"/>
        <w:outlineLvl w:val="9"/>
        <w:rPr>
          <w:rFonts w:hint="eastAsia" w:ascii="宋体" w:hAnsi="宋体" w:eastAsia="宋体" w:cs="宋体"/>
          <w:bCs/>
          <w:sz w:val="21"/>
          <w:szCs w:val="21"/>
          <w:lang w:eastAsia="zh-CN"/>
        </w:rPr>
      </w:pPr>
      <w:r>
        <w:rPr>
          <w:rFonts w:hint="eastAsia" w:ascii="宋体" w:hAnsi="宋体" w:eastAsia="宋体" w:cs="宋体"/>
          <w:bCs/>
          <w:sz w:val="21"/>
          <w:szCs w:val="21"/>
        </w:rPr>
        <w:t>地址</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地址</w:t>
      </w:r>
      <w:r>
        <w:rPr>
          <w:rFonts w:hint="eastAsia" w:ascii="宋体" w:hAnsi="宋体" w:eastAsia="宋体" w:cs="宋体"/>
          <w:bCs/>
          <w:sz w:val="21"/>
          <w:szCs w:val="21"/>
          <w:lang w:eastAsia="zh-CN"/>
        </w:rPr>
        <w:t>：</w:t>
      </w:r>
    </w:p>
    <w:p w14:paraId="2FEF27C0">
      <w:pPr>
        <w:pStyle w:val="2"/>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lang w:eastAsia="zh-CN"/>
        </w:rPr>
      </w:pPr>
    </w:p>
    <w:p w14:paraId="70A4880F">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textAlignment w:val="baseline"/>
        <w:outlineLvl w:val="9"/>
        <w:rPr>
          <w:rFonts w:hint="eastAsia" w:ascii="宋体" w:hAnsi="宋体" w:eastAsia="宋体" w:cs="宋体"/>
          <w:bCs/>
          <w:sz w:val="21"/>
          <w:szCs w:val="21"/>
          <w:lang w:eastAsia="zh-CN"/>
        </w:rPr>
      </w:pPr>
      <w:r>
        <w:rPr>
          <w:rFonts w:hint="eastAsia" w:ascii="宋体" w:hAnsi="宋体" w:eastAsia="宋体" w:cs="宋体"/>
          <w:bCs/>
          <w:sz w:val="21"/>
          <w:szCs w:val="21"/>
        </w:rPr>
        <w:t>电话</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电话</w:t>
      </w:r>
      <w:r>
        <w:rPr>
          <w:rFonts w:hint="eastAsia" w:ascii="宋体" w:hAnsi="宋体" w:eastAsia="宋体" w:cs="宋体"/>
          <w:bCs/>
          <w:sz w:val="21"/>
          <w:szCs w:val="21"/>
          <w:lang w:eastAsia="zh-CN"/>
        </w:rPr>
        <w:t>：</w:t>
      </w:r>
    </w:p>
    <w:p w14:paraId="7C7E2B92">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textAlignment w:val="baseline"/>
        <w:outlineLvl w:val="9"/>
        <w:rPr>
          <w:rFonts w:hint="eastAsia" w:ascii="宋体" w:hAnsi="宋体" w:eastAsia="宋体" w:cs="宋体"/>
          <w:bCs/>
          <w:sz w:val="21"/>
          <w:szCs w:val="21"/>
          <w:lang w:eastAsia="zh-CN"/>
        </w:rPr>
      </w:pPr>
    </w:p>
    <w:p w14:paraId="35109864">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textAlignment w:val="baseline"/>
        <w:outlineLvl w:val="9"/>
        <w:rPr>
          <w:rFonts w:hint="eastAsia" w:ascii="宋体" w:hAnsi="宋体" w:eastAsia="宋体" w:cs="宋体"/>
          <w:bCs/>
          <w:sz w:val="21"/>
          <w:szCs w:val="21"/>
          <w:lang w:eastAsia="zh-CN"/>
        </w:rPr>
      </w:pPr>
      <w:r>
        <w:rPr>
          <w:rFonts w:hint="eastAsia" w:ascii="宋体" w:hAnsi="宋体" w:eastAsia="宋体" w:cs="宋体"/>
          <w:bCs/>
          <w:sz w:val="21"/>
          <w:szCs w:val="21"/>
        </w:rPr>
        <w:t>代表人（签字）</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代表人（签字）</w:t>
      </w:r>
      <w:r>
        <w:rPr>
          <w:rFonts w:hint="eastAsia" w:ascii="宋体" w:hAnsi="宋体" w:eastAsia="宋体" w:cs="宋体"/>
          <w:bCs/>
          <w:sz w:val="21"/>
          <w:szCs w:val="21"/>
          <w:lang w:eastAsia="zh-CN"/>
        </w:rPr>
        <w:t>：</w:t>
      </w:r>
    </w:p>
    <w:p w14:paraId="14E5832F">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textAlignment w:val="baseline"/>
        <w:outlineLvl w:val="9"/>
        <w:rPr>
          <w:rFonts w:hint="eastAsia" w:ascii="宋体" w:hAnsi="宋体" w:eastAsia="宋体" w:cs="宋体"/>
          <w:bCs/>
          <w:sz w:val="21"/>
          <w:szCs w:val="21"/>
          <w:lang w:eastAsia="zh-CN"/>
        </w:rPr>
      </w:pPr>
    </w:p>
    <w:p w14:paraId="18FF5CB9">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0" w:firstLineChars="0"/>
        <w:textAlignment w:val="baseline"/>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日期：</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eastAsia="zh-CN"/>
        </w:rPr>
        <w:t>日期：</w:t>
      </w:r>
    </w:p>
    <w:p w14:paraId="09E3B144">
      <w:pPr>
        <w:pStyle w:val="14"/>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outlineLvl w:val="9"/>
        <w:rPr>
          <w:rFonts w:hint="eastAsia" w:ascii="宋体" w:hAnsi="宋体" w:eastAsia="宋体" w:cs="宋体"/>
          <w:b/>
          <w:highlight w:val="none"/>
        </w:rPr>
      </w:pPr>
      <w:r>
        <w:rPr>
          <w:rFonts w:hint="eastAsia" w:ascii="宋体" w:hAnsi="宋体" w:eastAsia="宋体" w:cs="宋体"/>
          <w:b/>
          <w:highlight w:val="none"/>
        </w:rPr>
        <w:br w:type="page"/>
      </w:r>
      <w:r>
        <w:rPr>
          <w:rFonts w:hint="eastAsia" w:ascii="宋体" w:hAnsi="宋体" w:eastAsia="宋体" w:cs="宋体"/>
          <w:b/>
          <w:highlight w:val="none"/>
        </w:rPr>
        <w:t>附件一</w:t>
      </w:r>
    </w:p>
    <w:p w14:paraId="134C0328">
      <w:pPr>
        <w:pStyle w:val="14"/>
        <w:keepNext w:val="0"/>
        <w:keepLines w:val="0"/>
        <w:pageBreakBefore w:val="0"/>
        <w:kinsoku/>
        <w:wordWrap/>
        <w:overflowPunct/>
        <w:topLinePunct w:val="0"/>
        <w:autoSpaceDE/>
        <w:autoSpaceDN/>
        <w:bidi w:val="0"/>
        <w:adjustRightInd/>
        <w:snapToGrid/>
        <w:spacing w:after="0" w:line="500" w:lineRule="exact"/>
        <w:ind w:left="0" w:leftChars="0" w:firstLine="482" w:firstLineChars="200"/>
        <w:jc w:val="center"/>
        <w:rPr>
          <w:rFonts w:hint="eastAsia" w:ascii="宋体" w:hAnsi="宋体" w:eastAsia="宋体" w:cs="宋体"/>
          <w:b/>
          <w:color w:val="auto"/>
          <w:highlight w:val="none"/>
        </w:rPr>
      </w:pPr>
      <w:bookmarkStart w:id="73" w:name="_Toc15038_WPSOffice_Level2"/>
      <w:bookmarkStart w:id="74" w:name="_Toc9780_WPSOffice_Level2"/>
      <w:bookmarkStart w:id="75" w:name="_Toc5692_WPSOffice_Level2"/>
      <w:r>
        <w:rPr>
          <w:rFonts w:hint="eastAsia" w:ascii="宋体" w:hAnsi="宋体" w:eastAsia="宋体" w:cs="宋体"/>
          <w:b/>
          <w:color w:val="auto"/>
          <w:highlight w:val="none"/>
          <w:lang w:eastAsia="zh-CN"/>
        </w:rPr>
        <w:t>不动产登记档案整理</w:t>
      </w:r>
      <w:r>
        <w:rPr>
          <w:rFonts w:hint="eastAsia" w:ascii="宋体" w:hAnsi="宋体" w:eastAsia="宋体" w:cs="宋体"/>
          <w:b/>
          <w:color w:val="auto"/>
          <w:highlight w:val="none"/>
        </w:rPr>
        <w:t>规范</w:t>
      </w:r>
      <w:bookmarkEnd w:id="73"/>
      <w:bookmarkEnd w:id="74"/>
      <w:bookmarkEnd w:id="75"/>
    </w:p>
    <w:p w14:paraId="1586A857">
      <w:pPr>
        <w:pStyle w:val="14"/>
        <w:keepNext w:val="0"/>
        <w:keepLines w:val="0"/>
        <w:pageBreakBefore w:val="0"/>
        <w:kinsoku/>
        <w:wordWrap/>
        <w:overflowPunct/>
        <w:topLinePunct w:val="0"/>
        <w:autoSpaceDE/>
        <w:autoSpaceDN/>
        <w:bidi w:val="0"/>
        <w:adjustRightInd/>
        <w:snapToGrid/>
        <w:spacing w:after="0" w:line="500" w:lineRule="exact"/>
        <w:ind w:left="422" w:leftChars="0"/>
        <w:jc w:val="both"/>
        <w:rPr>
          <w:rFonts w:hint="eastAsia" w:ascii="宋体" w:hAnsi="宋体" w:eastAsia="宋体" w:cs="宋体"/>
          <w:b/>
          <w:bCs/>
          <w:sz w:val="21"/>
          <w:szCs w:val="21"/>
          <w:lang w:eastAsia="zh-CN"/>
        </w:rPr>
      </w:pPr>
      <w:r>
        <w:rPr>
          <w:rFonts w:hint="eastAsia" w:ascii="宋体" w:hAnsi="宋体" w:eastAsia="宋体" w:cs="宋体"/>
          <w:b/>
          <w:bCs/>
          <w:sz w:val="21"/>
          <w:szCs w:val="21"/>
        </w:rPr>
        <w:t>1、不动产登记档案的收集</w:t>
      </w:r>
      <w:r>
        <w:rPr>
          <w:rFonts w:hint="eastAsia" w:ascii="宋体" w:hAnsi="宋体" w:eastAsia="宋体" w:cs="宋体"/>
          <w:b/>
          <w:bCs/>
          <w:sz w:val="21"/>
          <w:szCs w:val="21"/>
          <w:lang w:eastAsia="zh-CN"/>
        </w:rPr>
        <w:t>：</w:t>
      </w:r>
    </w:p>
    <w:p w14:paraId="0F1FC73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1.1归档范围</w:t>
      </w:r>
    </w:p>
    <w:p w14:paraId="73E62C6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不动产登记资料包括</w:t>
      </w:r>
      <w:r>
        <w:rPr>
          <w:rFonts w:hint="eastAsia" w:ascii="宋体" w:hAnsi="宋体" w:eastAsia="宋体" w:cs="宋体"/>
          <w:sz w:val="21"/>
          <w:szCs w:val="21"/>
          <w:lang w:eastAsia="zh-CN"/>
        </w:rPr>
        <w:t>：</w:t>
      </w:r>
    </w:p>
    <w:p w14:paraId="6DAAE62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1、不动产登记簿等不动产登记结果。</w:t>
      </w:r>
    </w:p>
    <w:p w14:paraId="4D2EC64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2、不动产登记经办部门，在办理各类不动产登记业务中形成的具有保存价值的文字、图表、声像等材料，包括</w:t>
      </w:r>
      <w:r>
        <w:rPr>
          <w:rFonts w:hint="eastAsia" w:ascii="宋体" w:hAnsi="宋体" w:eastAsia="宋体" w:cs="宋体"/>
          <w:sz w:val="21"/>
          <w:szCs w:val="21"/>
          <w:lang w:eastAsia="zh-CN"/>
        </w:rPr>
        <w:t>：</w:t>
      </w:r>
    </w:p>
    <w:p w14:paraId="12559D3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(1)不动产登记申请书</w:t>
      </w:r>
      <w:r>
        <w:rPr>
          <w:rFonts w:hint="eastAsia" w:ascii="宋体" w:hAnsi="宋体" w:eastAsia="宋体" w:cs="宋体"/>
          <w:sz w:val="21"/>
          <w:szCs w:val="21"/>
          <w:lang w:eastAsia="zh-CN"/>
        </w:rPr>
        <w:t>；</w:t>
      </w:r>
    </w:p>
    <w:p w14:paraId="6266C7E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(2)申请人身份证明材料</w:t>
      </w:r>
      <w:r>
        <w:rPr>
          <w:rFonts w:hint="eastAsia" w:ascii="宋体" w:hAnsi="宋体" w:eastAsia="宋体" w:cs="宋体"/>
          <w:sz w:val="21"/>
          <w:szCs w:val="21"/>
          <w:lang w:eastAsia="zh-CN"/>
        </w:rPr>
        <w:t>；</w:t>
      </w:r>
    </w:p>
    <w:p w14:paraId="410FBCB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(3)申请人提交的登记材料</w:t>
      </w:r>
      <w:r>
        <w:rPr>
          <w:rFonts w:hint="eastAsia" w:ascii="宋体" w:hAnsi="宋体" w:eastAsia="宋体" w:cs="宋体"/>
          <w:sz w:val="21"/>
          <w:szCs w:val="21"/>
          <w:lang w:eastAsia="zh-CN"/>
        </w:rPr>
        <w:t>；</w:t>
      </w:r>
    </w:p>
    <w:p w14:paraId="6427190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(4)不动产登记机构查验、询问、实地查看或调查、公告等形成的审核材料</w:t>
      </w:r>
      <w:r>
        <w:rPr>
          <w:rFonts w:hint="eastAsia" w:ascii="宋体" w:hAnsi="宋体" w:eastAsia="宋体" w:cs="宋体"/>
          <w:sz w:val="21"/>
          <w:szCs w:val="21"/>
          <w:lang w:eastAsia="zh-CN"/>
        </w:rPr>
        <w:t>；</w:t>
      </w:r>
    </w:p>
    <w:p w14:paraId="5CE5FE2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(5)不动产权籍调查表、宗地图、宗地界址点坐标等不动产权籍调查成果</w:t>
      </w:r>
      <w:r>
        <w:rPr>
          <w:rFonts w:hint="eastAsia" w:ascii="宋体" w:hAnsi="宋体" w:eastAsia="宋体" w:cs="宋体"/>
          <w:sz w:val="21"/>
          <w:szCs w:val="21"/>
          <w:lang w:eastAsia="zh-CN"/>
        </w:rPr>
        <w:t>；</w:t>
      </w:r>
    </w:p>
    <w:p w14:paraId="57DFC73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(6)法律、行政法规以及规定的其他材料。</w:t>
      </w:r>
    </w:p>
    <w:p w14:paraId="3AE009D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3、其他有关机关出具的复函、意见以及不动产登记过程中产生的其他依法应当保存的材料等。</w:t>
      </w:r>
    </w:p>
    <w:p w14:paraId="25BA895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1.2资料移交</w:t>
      </w:r>
    </w:p>
    <w:p w14:paraId="09BB43B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1、此移交方案适用于经手不动产登记档案的所有机构、部门或科室之间的移交。</w:t>
      </w:r>
    </w:p>
    <w:p w14:paraId="27D7077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不动产登记工作完成后，不动产登记经办机构应提前整理好登记资料，地统一制式的移交清单，将不动产登记原始资料和具有保存价值的其他材料收菜整理、并及时、完整地移交至档案管理部门。任何单位和个人不得拒绝归档或者据为己有。</w:t>
      </w:r>
    </w:p>
    <w:p w14:paraId="6006E0C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3、移交和接收标准:</w:t>
      </w:r>
    </w:p>
    <w:p w14:paraId="6DF2C1A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(1)档案按照不同的登记业务细项分别移交</w:t>
      </w:r>
      <w:r>
        <w:rPr>
          <w:rFonts w:hint="eastAsia" w:ascii="宋体" w:hAnsi="宋体" w:eastAsia="宋体" w:cs="宋体"/>
          <w:sz w:val="21"/>
          <w:szCs w:val="21"/>
          <w:lang w:eastAsia="zh-CN"/>
        </w:rPr>
        <w:t>；</w:t>
      </w:r>
    </w:p>
    <w:p w14:paraId="36CF7A5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(2)每份档案的登记材料全部内置档案袋内</w:t>
      </w:r>
      <w:r>
        <w:rPr>
          <w:rFonts w:hint="eastAsia" w:ascii="宋体" w:hAnsi="宋体" w:eastAsia="宋体" w:cs="宋体"/>
          <w:sz w:val="21"/>
          <w:szCs w:val="21"/>
          <w:lang w:eastAsia="zh-CN"/>
        </w:rPr>
        <w:t>；</w:t>
      </w:r>
    </w:p>
    <w:p w14:paraId="08FE8A5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(3)每份档案袋的封皮粘贴最新的受理凭证</w:t>
      </w:r>
      <w:r>
        <w:rPr>
          <w:rFonts w:hint="eastAsia" w:ascii="宋体" w:hAnsi="宋体" w:eastAsia="宋体" w:cs="宋体"/>
          <w:sz w:val="21"/>
          <w:szCs w:val="21"/>
          <w:lang w:eastAsia="zh-CN"/>
        </w:rPr>
        <w:t>；</w:t>
      </w:r>
    </w:p>
    <w:p w14:paraId="420B885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(4)每份档案袋内应含一套完整有效的登记材料</w:t>
      </w:r>
      <w:r>
        <w:rPr>
          <w:rFonts w:hint="eastAsia" w:ascii="宋体" w:hAnsi="宋体" w:eastAsia="宋体" w:cs="宋体"/>
          <w:sz w:val="21"/>
          <w:szCs w:val="21"/>
          <w:lang w:eastAsia="zh-CN"/>
        </w:rPr>
        <w:t>；</w:t>
      </w:r>
    </w:p>
    <w:p w14:paraId="5B8F2EC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(5)档案袋的摆放顺序和传递表记载的顺序一致</w:t>
      </w:r>
      <w:r>
        <w:rPr>
          <w:rFonts w:hint="eastAsia" w:ascii="宋体" w:hAnsi="宋体" w:eastAsia="宋体" w:cs="宋体"/>
          <w:sz w:val="21"/>
          <w:szCs w:val="21"/>
          <w:lang w:eastAsia="zh-CN"/>
        </w:rPr>
        <w:t>；</w:t>
      </w:r>
    </w:p>
    <w:p w14:paraId="2A7DD6E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(6)传递表记载的档案条目数量和档案袋数量致</w:t>
      </w:r>
      <w:r>
        <w:rPr>
          <w:rFonts w:hint="eastAsia" w:ascii="宋体" w:hAnsi="宋体" w:eastAsia="宋体" w:cs="宋体"/>
          <w:sz w:val="21"/>
          <w:szCs w:val="21"/>
          <w:lang w:eastAsia="zh-CN"/>
        </w:rPr>
        <w:t>；</w:t>
      </w:r>
    </w:p>
    <w:p w14:paraId="4451BED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(7)受理凭证标注的内容和传递表记载信息</w:t>
      </w:r>
      <w:r>
        <w:rPr>
          <w:rFonts w:hint="eastAsia" w:ascii="宋体" w:hAnsi="宋体" w:eastAsia="宋体" w:cs="宋体"/>
          <w:sz w:val="21"/>
          <w:szCs w:val="21"/>
          <w:lang w:eastAsia="zh-CN"/>
        </w:rPr>
        <w:t>一</w:t>
      </w:r>
      <w:r>
        <w:rPr>
          <w:rFonts w:hint="eastAsia" w:ascii="宋体" w:hAnsi="宋体" w:eastAsia="宋体" w:cs="宋体"/>
          <w:sz w:val="21"/>
          <w:szCs w:val="21"/>
        </w:rPr>
        <w:t>致。</w:t>
      </w:r>
    </w:p>
    <w:p w14:paraId="1A11BC5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1.3归档要求</w:t>
      </w:r>
    </w:p>
    <w:p w14:paraId="38AEE04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归档材料应当做到内容完整、数据准确、表格填写清楚规范、图形清晰、声像资料能够正常使用，真实反应不动产登记及其变动的实际状况。</w:t>
      </w:r>
    </w:p>
    <w:p w14:paraId="6F02204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1.4归档验收</w:t>
      </w:r>
    </w:p>
    <w:p w14:paraId="4765A08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1、不动产登记档案管理部门应当对归档的不动产登记资料;进行验收，不符合要求的，不予归档。</w:t>
      </w:r>
    </w:p>
    <w:p w14:paraId="445A1E6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2、移交双方需当场核对清楚，该移交批次中如有不符合以上接收标准，且当场不能修正的情况出现，该批次不予接收。</w:t>
      </w:r>
    </w:p>
    <w:p w14:paraId="66F80CB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1.5移交清单</w:t>
      </w:r>
    </w:p>
    <w:p w14:paraId="006BF1A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移交双方之间应当填写统一制式的移交清单，一式两份。交接双方根据档案移交清单进行清点核对，由移交人、接收人签字后各执份，标注交接日期。移交清单包括序号、业务号、登记业务类型、权利人，坐落等基本情况。不符合上述规定要求的，不予接收。</w:t>
      </w:r>
    </w:p>
    <w:p w14:paraId="0496C3AF">
      <w:pPr>
        <w:pStyle w:val="14"/>
        <w:keepNext w:val="0"/>
        <w:keepLines w:val="0"/>
        <w:pageBreakBefore w:val="0"/>
        <w:kinsoku/>
        <w:wordWrap/>
        <w:overflowPunct/>
        <w:topLinePunct w:val="0"/>
        <w:autoSpaceDE/>
        <w:autoSpaceDN/>
        <w:bidi w:val="0"/>
        <w:adjustRightInd/>
        <w:snapToGrid/>
        <w:spacing w:after="0" w:line="500" w:lineRule="exact"/>
        <w:ind w:left="422" w:leftChars="0" w:hanging="480"/>
        <w:jc w:val="both"/>
        <w:rPr>
          <w:rFonts w:hint="eastAsia" w:ascii="宋体" w:hAnsi="宋体" w:eastAsia="宋体" w:cs="宋体"/>
          <w:b/>
          <w:bCs/>
          <w:sz w:val="21"/>
          <w:szCs w:val="21"/>
        </w:rPr>
      </w:pPr>
      <w:r>
        <w:rPr>
          <w:rFonts w:hint="eastAsia" w:ascii="宋体" w:hAnsi="宋体" w:eastAsia="宋体" w:cs="宋体"/>
          <w:b/>
          <w:bCs/>
          <w:sz w:val="21"/>
          <w:szCs w:val="21"/>
        </w:rPr>
        <w:t>2、不动产登记档案的整理</w:t>
      </w:r>
    </w:p>
    <w:p w14:paraId="718B967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2.1整理项目</w:t>
      </w:r>
    </w:p>
    <w:p w14:paraId="3F31E79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不动产登记档案由由整理人员立卷归档，整理工作应细化内部岗位职责标准作业流程、技术要求、质量控制和人员统筹等各方面事项。整理项目包括</w:t>
      </w:r>
      <w:r>
        <w:rPr>
          <w:rFonts w:hint="eastAsia" w:ascii="宋体" w:hAnsi="宋体" w:eastAsia="宋体" w:cs="宋体"/>
          <w:sz w:val="21"/>
          <w:szCs w:val="21"/>
          <w:lang w:eastAsia="zh-CN"/>
        </w:rPr>
        <w:t>：</w:t>
      </w:r>
      <w:r>
        <w:rPr>
          <w:rFonts w:hint="eastAsia" w:ascii="宋体" w:hAnsi="宋体" w:eastAsia="宋体" w:cs="宋体"/>
          <w:sz w:val="21"/>
          <w:szCs w:val="21"/>
        </w:rPr>
        <w:t>文件资料的排序和编写页码、卷内文件目录和备考表的编制、纸质档案的数字化、封皮和档案盒的编制、档案的装订和入库排列等。</w:t>
      </w:r>
    </w:p>
    <w:p w14:paraId="3249491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2.2立卷原则</w:t>
      </w:r>
    </w:p>
    <w:p w14:paraId="2980770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动产登记档案，应当做到书写材料合乎标准、字迹工整、内容规范、图形清晰、数据准确、符合档案立卷归档的要求。</w:t>
      </w:r>
    </w:p>
    <w:p w14:paraId="4F269F3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不动产登记档案立卷原则:</w:t>
      </w:r>
    </w:p>
    <w:p w14:paraId="2D1AD31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不动产登记档案立卷宜采用件一卷的原则，即每办理一件登记所形成的材料立一个卷</w:t>
      </w:r>
      <w:r>
        <w:rPr>
          <w:rFonts w:hint="eastAsia" w:ascii="宋体" w:hAnsi="宋体" w:eastAsia="宋体" w:cs="宋体"/>
          <w:sz w:val="21"/>
          <w:szCs w:val="21"/>
          <w:lang w:eastAsia="zh-CN"/>
        </w:rPr>
        <w:t>；</w:t>
      </w:r>
    </w:p>
    <w:p w14:paraId="089411F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2、每变动一次产生的材料立为一卷， 立卷后及时建立相关案卷之间的关联，做好档案信息的动态管理，方便查找利用。</w:t>
      </w:r>
    </w:p>
    <w:p w14:paraId="3BA4C82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2.3档案号生成规则</w:t>
      </w:r>
    </w:p>
    <w:p w14:paraId="1043768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档案号编写:不动产登记档案的档案号编制参照不动产证书、证明编号规则制定，档案号由省(市)份简称汉字、年度、不动产登记业务受理网点拼音首字母缩写、登记业务类别和案卷顺序号五部分组成。具体分类根据业务开展需要，由市不动产登记中心协调有关部门统一制定。</w:t>
      </w:r>
    </w:p>
    <w:p w14:paraId="15A25B3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郑州市不动产登记业务共十处受理网点，与其首字母缩写对应关系分别是</w:t>
      </w:r>
      <w:r>
        <w:rPr>
          <w:rFonts w:hint="eastAsia" w:ascii="宋体" w:hAnsi="宋体" w:eastAsia="宋体" w:cs="宋体"/>
          <w:sz w:val="21"/>
          <w:szCs w:val="21"/>
          <w:lang w:eastAsia="zh-CN"/>
        </w:rPr>
        <w:t>：</w:t>
      </w:r>
      <w:r>
        <w:rPr>
          <w:rFonts w:hint="eastAsia" w:ascii="宋体" w:hAnsi="宋体" w:eastAsia="宋体" w:cs="宋体"/>
          <w:sz w:val="21"/>
          <w:szCs w:val="21"/>
        </w:rPr>
        <w:t>管城区不动产登记网点，简称GC;政务服务大厅(含之前中原区不动产分中心和西区联合网点)不动产登记网点，简称ZY:二七区不动产登记网点，简称EQ;金水区服务大厅不动产登记网点，简称JS;南阳路服务大厅(含之前惠济区不动产分中心)不动产登记网点，简称HJ;高新区服务大厅不动产登记网点，简称GX:郑东新区服务大厅不动产登记网点，简称ZD;经开区服务大厅不动产登记网点，简称JK;长江路服务大厅不动产登记网点，简称SJ</w:t>
      </w:r>
      <w:r>
        <w:rPr>
          <w:rFonts w:hint="eastAsia" w:ascii="宋体" w:hAnsi="宋体" w:eastAsia="宋体" w:cs="宋体"/>
          <w:sz w:val="21"/>
          <w:szCs w:val="21"/>
          <w:lang w:eastAsia="zh-CN"/>
        </w:rPr>
        <w:t>；</w:t>
      </w:r>
      <w:r>
        <w:rPr>
          <w:rFonts w:hint="eastAsia" w:ascii="宋体" w:hAnsi="宋体" w:eastAsia="宋体" w:cs="宋体"/>
          <w:sz w:val="21"/>
          <w:szCs w:val="21"/>
        </w:rPr>
        <w:t>CBD服务大厅不动产登记网点，简称DQ。</w:t>
      </w:r>
    </w:p>
    <w:p w14:paraId="12890EA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类别共六个，分别和不动产登记各个业务相关联。分别是:证书类，简称</w:t>
      </w:r>
      <w:r>
        <w:rPr>
          <w:rFonts w:hint="eastAsia" w:ascii="宋体" w:hAnsi="宋体" w:eastAsia="宋体" w:cs="宋体"/>
          <w:sz w:val="21"/>
          <w:szCs w:val="21"/>
          <w:lang w:val="en-US" w:eastAsia="zh-CN"/>
        </w:rPr>
        <w:t>ZS</w:t>
      </w:r>
      <w:r>
        <w:rPr>
          <w:rFonts w:hint="eastAsia" w:ascii="宋体" w:hAnsi="宋体" w:eastAsia="宋体" w:cs="宋体"/>
          <w:sz w:val="21"/>
          <w:szCs w:val="21"/>
          <w:lang w:eastAsia="zh-CN"/>
        </w:rPr>
        <w:t>；</w:t>
      </w:r>
      <w:r>
        <w:rPr>
          <w:rFonts w:hint="eastAsia" w:ascii="宋体" w:hAnsi="宋体" w:eastAsia="宋体" w:cs="宋体"/>
          <w:sz w:val="21"/>
          <w:szCs w:val="21"/>
        </w:rPr>
        <w:t>证明类，简称ZM</w:t>
      </w:r>
      <w:r>
        <w:rPr>
          <w:rFonts w:hint="eastAsia" w:ascii="宋体" w:hAnsi="宋体" w:eastAsia="宋体" w:cs="宋体"/>
          <w:sz w:val="21"/>
          <w:szCs w:val="21"/>
          <w:lang w:eastAsia="zh-CN"/>
        </w:rPr>
        <w:t>；</w:t>
      </w:r>
      <w:r>
        <w:rPr>
          <w:rFonts w:hint="eastAsia" w:ascii="宋体" w:hAnsi="宋体" w:eastAsia="宋体" w:cs="宋体"/>
          <w:sz w:val="21"/>
          <w:szCs w:val="21"/>
        </w:rPr>
        <w:t>注销类，简称ZX</w:t>
      </w:r>
      <w:r>
        <w:rPr>
          <w:rFonts w:hint="eastAsia" w:ascii="宋体" w:hAnsi="宋体" w:eastAsia="宋体" w:cs="宋体"/>
          <w:sz w:val="21"/>
          <w:szCs w:val="21"/>
          <w:lang w:eastAsia="zh-CN"/>
        </w:rPr>
        <w:t>；</w:t>
      </w:r>
      <w:r>
        <w:rPr>
          <w:rFonts w:hint="eastAsia" w:ascii="宋体" w:hAnsi="宋体" w:eastAsia="宋体" w:cs="宋体"/>
          <w:sz w:val="21"/>
          <w:szCs w:val="21"/>
        </w:rPr>
        <w:t>协执类，简称X</w:t>
      </w:r>
      <w:r>
        <w:rPr>
          <w:rFonts w:hint="eastAsia" w:ascii="宋体" w:hAnsi="宋体" w:eastAsia="宋体" w:cs="宋体"/>
          <w:sz w:val="21"/>
          <w:szCs w:val="21"/>
          <w:lang w:val="en-US" w:eastAsia="zh-CN"/>
        </w:rPr>
        <w:t>Z</w:t>
      </w:r>
      <w:r>
        <w:rPr>
          <w:rFonts w:hint="eastAsia" w:ascii="宋体" w:hAnsi="宋体" w:eastAsia="宋体" w:cs="宋体"/>
          <w:sz w:val="21"/>
          <w:szCs w:val="21"/>
          <w:lang w:eastAsia="zh-CN"/>
        </w:rPr>
        <w:t>；</w:t>
      </w:r>
      <w:r>
        <w:rPr>
          <w:rFonts w:hint="eastAsia" w:ascii="宋体" w:hAnsi="宋体" w:eastAsia="宋体" w:cs="宋体"/>
          <w:sz w:val="21"/>
          <w:szCs w:val="21"/>
        </w:rPr>
        <w:t>变更类，简称BG</w:t>
      </w:r>
      <w:r>
        <w:rPr>
          <w:rFonts w:hint="eastAsia" w:ascii="宋体" w:hAnsi="宋体" w:eastAsia="宋体" w:cs="宋体"/>
          <w:sz w:val="21"/>
          <w:szCs w:val="21"/>
          <w:lang w:eastAsia="zh-CN"/>
        </w:rPr>
        <w:t>；</w:t>
      </w:r>
      <w:r>
        <w:rPr>
          <w:rFonts w:hint="eastAsia" w:ascii="宋体" w:hAnsi="宋体" w:eastAsia="宋体" w:cs="宋体"/>
          <w:sz w:val="21"/>
          <w:szCs w:val="21"/>
        </w:rPr>
        <w:t>其他类，简称QT。</w:t>
      </w:r>
    </w:p>
    <w:p w14:paraId="70E5BFB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年度以创建档案生成档第号的时间为准，和业务办理中的登簿时间无关。</w:t>
      </w:r>
    </w:p>
    <w:p w14:paraId="3D3E71C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顺序号生成规则是:由7位纯数字组成，每年度均从“1”开始。</w:t>
      </w:r>
    </w:p>
    <w:p w14:paraId="2E99B22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(1)示例1:管城区2015年不动心登记(证书类)档案归档，档案号编写为</w:t>
      </w:r>
      <w:r>
        <w:rPr>
          <w:rFonts w:hint="eastAsia" w:ascii="宋体" w:hAnsi="宋体" w:eastAsia="宋体" w:cs="宋体"/>
          <w:sz w:val="21"/>
          <w:szCs w:val="21"/>
          <w:lang w:eastAsia="zh-CN"/>
        </w:rPr>
        <w:t>：</w:t>
      </w:r>
      <w:r>
        <w:rPr>
          <w:rFonts w:hint="eastAsia" w:ascii="宋体" w:hAnsi="宋体" w:eastAsia="宋体" w:cs="宋体"/>
          <w:sz w:val="21"/>
          <w:szCs w:val="21"/>
        </w:rPr>
        <w:t>郑2015GCZS0</w:t>
      </w:r>
    </w:p>
    <w:p w14:paraId="0677649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000001。</w:t>
      </w:r>
    </w:p>
    <w:p w14:paraId="04812BA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具体解释为</w:t>
      </w:r>
      <w:r>
        <w:rPr>
          <w:rFonts w:hint="eastAsia" w:ascii="宋体" w:hAnsi="宋体" w:eastAsia="宋体" w:cs="宋体"/>
          <w:sz w:val="21"/>
          <w:szCs w:val="21"/>
          <w:lang w:eastAsia="zh-CN"/>
        </w:rPr>
        <w:t>：</w:t>
      </w:r>
      <w:r>
        <w:rPr>
          <w:rFonts w:hint="eastAsia" w:ascii="宋体" w:hAnsi="宋体" w:eastAsia="宋体" w:cs="宋体"/>
          <w:sz w:val="21"/>
          <w:szCs w:val="21"/>
        </w:rPr>
        <w:t>郑(郑州)2015 (年度) -</w:t>
      </w:r>
      <w:r>
        <w:rPr>
          <w:rFonts w:hint="eastAsia" w:ascii="宋体" w:hAnsi="宋体" w:eastAsia="宋体" w:cs="宋体"/>
          <w:sz w:val="21"/>
          <w:szCs w:val="21"/>
          <w:lang w:val="en-US" w:eastAsia="zh-CN"/>
        </w:rPr>
        <w:t>G</w:t>
      </w:r>
      <w:r>
        <w:rPr>
          <w:rFonts w:hint="eastAsia" w:ascii="宋体" w:hAnsi="宋体" w:eastAsia="宋体" w:cs="宋体"/>
          <w:sz w:val="21"/>
          <w:szCs w:val="21"/>
        </w:rPr>
        <w:t>C (管城区) - 2S(证书类) - 000(案卷顺序号)。</w:t>
      </w:r>
    </w:p>
    <w:p w14:paraId="5D3AFBC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示例2</w:t>
      </w:r>
      <w:r>
        <w:rPr>
          <w:rFonts w:hint="eastAsia" w:ascii="宋体" w:hAnsi="宋体" w:eastAsia="宋体" w:cs="宋体"/>
          <w:sz w:val="21"/>
          <w:szCs w:val="21"/>
          <w:lang w:eastAsia="zh-CN"/>
        </w:rPr>
        <w:t>：</w:t>
      </w:r>
      <w:r>
        <w:rPr>
          <w:rFonts w:hint="eastAsia" w:ascii="宋体" w:hAnsi="宋体" w:eastAsia="宋体" w:cs="宋体"/>
          <w:sz w:val="21"/>
          <w:szCs w:val="21"/>
        </w:rPr>
        <w:t>二七区2016 年度不动产登记(证明类)档案归档，档案号编写为</w:t>
      </w:r>
      <w:r>
        <w:rPr>
          <w:rFonts w:hint="eastAsia" w:ascii="宋体" w:hAnsi="宋体" w:eastAsia="宋体" w:cs="宋体"/>
          <w:sz w:val="21"/>
          <w:szCs w:val="21"/>
          <w:lang w:eastAsia="zh-CN"/>
        </w:rPr>
        <w:t>：</w:t>
      </w:r>
      <w:r>
        <w:rPr>
          <w:rFonts w:hint="eastAsia" w:ascii="宋体" w:hAnsi="宋体" w:eastAsia="宋体" w:cs="宋体"/>
          <w:sz w:val="21"/>
          <w:szCs w:val="21"/>
        </w:rPr>
        <w:t>郑</w:t>
      </w:r>
      <w:r>
        <w:rPr>
          <w:rFonts w:hint="eastAsia" w:ascii="宋体" w:hAnsi="宋体" w:eastAsia="宋体" w:cs="宋体"/>
          <w:sz w:val="21"/>
          <w:szCs w:val="21"/>
          <w:lang w:val="en-US" w:eastAsia="zh-CN"/>
        </w:rPr>
        <w:t>2016EQZM0000001</w:t>
      </w:r>
    </w:p>
    <w:p w14:paraId="063BDD6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具体解释为:郑(郑州)</w:t>
      </w:r>
      <w:r>
        <w:rPr>
          <w:rFonts w:hint="eastAsia" w:ascii="宋体" w:hAnsi="宋体" w:eastAsia="宋体" w:cs="宋体"/>
          <w:sz w:val="21"/>
          <w:szCs w:val="21"/>
          <w:lang w:val="en-US" w:eastAsia="zh-CN"/>
        </w:rPr>
        <w:t xml:space="preserve"> - </w:t>
      </w:r>
      <w:r>
        <w:rPr>
          <w:rFonts w:hint="eastAsia" w:ascii="宋体" w:hAnsi="宋体" w:eastAsia="宋体" w:cs="宋体"/>
          <w:sz w:val="21"/>
          <w:szCs w:val="21"/>
        </w:rPr>
        <w:t>2016 (年度) - EQ (二七区)一ZM (证明类)</w:t>
      </w:r>
      <w:r>
        <w:rPr>
          <w:rFonts w:hint="eastAsia" w:ascii="宋体" w:hAnsi="宋体" w:eastAsia="宋体" w:cs="宋体"/>
          <w:sz w:val="21"/>
          <w:szCs w:val="21"/>
          <w:lang w:val="en-US" w:eastAsia="zh-CN"/>
        </w:rPr>
        <w:t xml:space="preserve"> - </w:t>
      </w:r>
      <w:r>
        <w:rPr>
          <w:rFonts w:hint="eastAsia" w:ascii="宋体" w:hAnsi="宋体" w:eastAsia="宋体" w:cs="宋体"/>
          <w:sz w:val="21"/>
          <w:szCs w:val="21"/>
        </w:rPr>
        <w:t>000001 (案卷顺序号)。</w:t>
      </w:r>
    </w:p>
    <w:p w14:paraId="389414F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(3)示例3:中原区2017年不动产登记(注销类)档案归档，档案号编写为:郑2017ZYZ</w:t>
      </w:r>
      <w:r>
        <w:rPr>
          <w:rFonts w:hint="eastAsia" w:ascii="宋体" w:hAnsi="宋体" w:eastAsia="宋体" w:cs="宋体"/>
          <w:sz w:val="21"/>
          <w:szCs w:val="21"/>
          <w:lang w:val="en-US" w:eastAsia="zh-CN"/>
        </w:rPr>
        <w:t>X</w:t>
      </w:r>
      <w:r>
        <w:rPr>
          <w:rFonts w:hint="eastAsia" w:ascii="宋体" w:hAnsi="宋体" w:eastAsia="宋体" w:cs="宋体"/>
          <w:sz w:val="21"/>
          <w:szCs w:val="21"/>
        </w:rPr>
        <w:t>0000001。</w:t>
      </w:r>
    </w:p>
    <w:p w14:paraId="702F07E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具体解释为:郑(郑州) -2017 (年度) - ZY (中原区)- </w:t>
      </w:r>
      <w:r>
        <w:rPr>
          <w:rFonts w:hint="eastAsia" w:ascii="宋体" w:hAnsi="宋体" w:eastAsia="宋体" w:cs="宋体"/>
          <w:sz w:val="21"/>
          <w:szCs w:val="21"/>
          <w:lang w:val="en-US" w:eastAsia="zh-CN"/>
        </w:rPr>
        <w:t>Z</w:t>
      </w:r>
      <w:r>
        <w:rPr>
          <w:rFonts w:hint="eastAsia" w:ascii="宋体" w:hAnsi="宋体" w:eastAsia="宋体" w:cs="宋体"/>
          <w:sz w:val="21"/>
          <w:szCs w:val="21"/>
        </w:rPr>
        <w:t>X (注销类) - 0000</w:t>
      </w:r>
      <w:r>
        <w:rPr>
          <w:rFonts w:hint="eastAsia" w:ascii="宋体" w:hAnsi="宋体" w:eastAsia="宋体" w:cs="宋体"/>
          <w:sz w:val="21"/>
          <w:szCs w:val="21"/>
          <w:lang w:val="en-US" w:eastAsia="zh-CN"/>
        </w:rPr>
        <w:t>001</w:t>
      </w:r>
      <w:r>
        <w:rPr>
          <w:rFonts w:hint="eastAsia" w:ascii="宋体" w:hAnsi="宋体" w:eastAsia="宋体" w:cs="宋体"/>
          <w:sz w:val="21"/>
          <w:szCs w:val="21"/>
        </w:rPr>
        <w:t>(案卷顺序号)。</w:t>
      </w:r>
    </w:p>
    <w:p w14:paraId="19FFF0A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(4)示例4:高新区2015年度不动产登记(协执类)档案归档，档案号编写为</w:t>
      </w:r>
      <w:r>
        <w:rPr>
          <w:rFonts w:hint="eastAsia" w:ascii="宋体" w:hAnsi="宋体" w:eastAsia="宋体" w:cs="宋体"/>
          <w:sz w:val="21"/>
          <w:szCs w:val="21"/>
          <w:lang w:eastAsia="zh-CN"/>
        </w:rPr>
        <w:t>：</w:t>
      </w:r>
      <w:r>
        <w:rPr>
          <w:rFonts w:hint="eastAsia" w:ascii="宋体" w:hAnsi="宋体" w:eastAsia="宋体" w:cs="宋体"/>
          <w:sz w:val="21"/>
          <w:szCs w:val="21"/>
        </w:rPr>
        <w:t>郑2015GXX</w:t>
      </w:r>
      <w:r>
        <w:rPr>
          <w:rFonts w:hint="eastAsia" w:ascii="宋体" w:hAnsi="宋体" w:eastAsia="宋体" w:cs="宋体"/>
          <w:sz w:val="21"/>
          <w:szCs w:val="21"/>
          <w:lang w:val="en-US" w:eastAsia="zh-CN"/>
        </w:rPr>
        <w:t>Z</w:t>
      </w:r>
      <w:r>
        <w:rPr>
          <w:rFonts w:hint="eastAsia" w:ascii="宋体" w:hAnsi="宋体" w:eastAsia="宋体" w:cs="宋体"/>
          <w:sz w:val="21"/>
          <w:szCs w:val="21"/>
        </w:rPr>
        <w:t>0000001</w:t>
      </w:r>
      <w:r>
        <w:rPr>
          <w:rFonts w:hint="eastAsia" w:ascii="宋体" w:hAnsi="宋体" w:eastAsia="宋体" w:cs="宋体"/>
          <w:sz w:val="21"/>
          <w:szCs w:val="21"/>
          <w:lang w:eastAsia="zh-CN"/>
        </w:rPr>
        <w:t>。</w:t>
      </w:r>
    </w:p>
    <w:p w14:paraId="63572E5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具体解释为:郑(郑州) - 2015 (年度) - GX (高新区)- XZ (协执类) - 000000</w:t>
      </w:r>
      <w:r>
        <w:rPr>
          <w:rFonts w:hint="eastAsia" w:ascii="宋体" w:hAnsi="宋体" w:eastAsia="宋体" w:cs="宋体"/>
          <w:sz w:val="21"/>
          <w:szCs w:val="21"/>
          <w:lang w:val="en-US" w:eastAsia="zh-CN"/>
        </w:rPr>
        <w:t>1</w:t>
      </w:r>
      <w:r>
        <w:rPr>
          <w:rFonts w:hint="eastAsia" w:ascii="宋体" w:hAnsi="宋体" w:eastAsia="宋体" w:cs="宋体"/>
          <w:sz w:val="21"/>
          <w:szCs w:val="21"/>
        </w:rPr>
        <w:t>&lt;案卷顺序号)。</w:t>
      </w:r>
    </w:p>
    <w:p w14:paraId="099E9C3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(5)示例5:郑东新区2016年度不动产登记(变更类)档案归档，档案号编写为:郑2016ZDB</w:t>
      </w:r>
      <w:r>
        <w:rPr>
          <w:rFonts w:hint="eastAsia" w:ascii="宋体" w:hAnsi="宋体" w:eastAsia="宋体" w:cs="宋体"/>
          <w:sz w:val="21"/>
          <w:szCs w:val="21"/>
          <w:lang w:val="en-US" w:eastAsia="zh-CN"/>
        </w:rPr>
        <w:t>G</w:t>
      </w:r>
      <w:r>
        <w:rPr>
          <w:rFonts w:hint="eastAsia" w:ascii="宋体" w:hAnsi="宋体" w:eastAsia="宋体" w:cs="宋体"/>
          <w:sz w:val="21"/>
          <w:szCs w:val="21"/>
        </w:rPr>
        <w:t>0000001.</w:t>
      </w:r>
    </w:p>
    <w:p w14:paraId="4D865DF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具体解释为:郑(郑州) - 2016 (年度) - ZD (郑东新区)-BG (变更类) -000</w:t>
      </w:r>
      <w:r>
        <w:rPr>
          <w:rFonts w:hint="eastAsia" w:ascii="宋体" w:hAnsi="宋体" w:eastAsia="宋体" w:cs="宋体"/>
          <w:sz w:val="21"/>
          <w:szCs w:val="21"/>
          <w:lang w:val="en-US" w:eastAsia="zh-CN"/>
        </w:rPr>
        <w:t>0</w:t>
      </w:r>
      <w:r>
        <w:rPr>
          <w:rFonts w:hint="eastAsia" w:ascii="宋体" w:hAnsi="宋体" w:eastAsia="宋体" w:cs="宋体"/>
          <w:sz w:val="21"/>
          <w:szCs w:val="21"/>
        </w:rPr>
        <w:t>001(案卷顺序号)。</w:t>
      </w:r>
    </w:p>
    <w:p w14:paraId="1EC4D88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(6)示例6:经开区2018年度不动产登记(其他类)档案归档，档案号编写为:郑2018JK</w:t>
      </w:r>
      <w:r>
        <w:rPr>
          <w:rFonts w:hint="eastAsia" w:ascii="宋体" w:hAnsi="宋体" w:eastAsia="宋体" w:cs="宋体"/>
          <w:sz w:val="21"/>
          <w:szCs w:val="21"/>
          <w:lang w:val="en-US" w:eastAsia="zh-CN"/>
        </w:rPr>
        <w:t>Q</w:t>
      </w:r>
      <w:r>
        <w:rPr>
          <w:rFonts w:hint="eastAsia" w:ascii="宋体" w:hAnsi="宋体" w:eastAsia="宋体" w:cs="宋体"/>
          <w:sz w:val="21"/>
          <w:szCs w:val="21"/>
        </w:rPr>
        <w:t>T0000001。</w:t>
      </w:r>
    </w:p>
    <w:p w14:paraId="43D8FB5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具体解释为:郑(郑州) - 2018 (年度)一JK (经开区)- Q</w:t>
      </w:r>
      <w:r>
        <w:rPr>
          <w:rFonts w:hint="eastAsia" w:ascii="宋体" w:hAnsi="宋体" w:eastAsia="宋体" w:cs="宋体"/>
          <w:sz w:val="21"/>
          <w:szCs w:val="21"/>
          <w:lang w:val="en-US" w:eastAsia="zh-CN"/>
        </w:rPr>
        <w:t>T</w:t>
      </w:r>
      <w:r>
        <w:rPr>
          <w:rFonts w:hint="eastAsia" w:ascii="宋体" w:hAnsi="宋体" w:eastAsia="宋体" w:cs="宋体"/>
          <w:sz w:val="21"/>
          <w:szCs w:val="21"/>
        </w:rPr>
        <w:t xml:space="preserve"> (其他类)一000</w:t>
      </w:r>
      <w:r>
        <w:rPr>
          <w:rFonts w:hint="eastAsia" w:ascii="宋体" w:hAnsi="宋体" w:eastAsia="宋体" w:cs="宋体"/>
          <w:sz w:val="21"/>
          <w:szCs w:val="21"/>
          <w:lang w:val="en-US" w:eastAsia="zh-CN"/>
        </w:rPr>
        <w:t>0001</w:t>
      </w:r>
      <w:r>
        <w:rPr>
          <w:rFonts w:hint="eastAsia" w:ascii="宋体" w:hAnsi="宋体" w:eastAsia="宋体" w:cs="宋体"/>
          <w:sz w:val="21"/>
          <w:szCs w:val="21"/>
        </w:rPr>
        <w:t>(案卷顺序号)。</w:t>
      </w:r>
    </w:p>
    <w:p w14:paraId="69459C8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2.4卷内材料排序</w:t>
      </w:r>
    </w:p>
    <w:p w14:paraId="083BDB6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卷内材料立按下列顺序排列</w:t>
      </w:r>
      <w:r>
        <w:rPr>
          <w:rFonts w:hint="eastAsia" w:ascii="宋体" w:hAnsi="宋体" w:eastAsia="宋体" w:cs="宋体"/>
          <w:sz w:val="21"/>
          <w:szCs w:val="21"/>
          <w:lang w:eastAsia="zh-CN"/>
        </w:rPr>
        <w:t>：</w:t>
      </w:r>
    </w:p>
    <w:p w14:paraId="24D7816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(1)目录</w:t>
      </w:r>
      <w:r>
        <w:rPr>
          <w:rFonts w:hint="eastAsia" w:ascii="宋体" w:hAnsi="宋体" w:eastAsia="宋体" w:cs="宋体"/>
          <w:sz w:val="21"/>
          <w:szCs w:val="21"/>
          <w:lang w:eastAsia="zh-CN"/>
        </w:rPr>
        <w:t>；</w:t>
      </w:r>
    </w:p>
    <w:p w14:paraId="5298387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(2)结论性审核材料</w:t>
      </w:r>
      <w:r>
        <w:rPr>
          <w:rFonts w:hint="eastAsia" w:ascii="宋体" w:hAnsi="宋体" w:eastAsia="宋体" w:cs="宋体"/>
          <w:sz w:val="21"/>
          <w:szCs w:val="21"/>
          <w:lang w:eastAsia="zh-CN"/>
        </w:rPr>
        <w:t>；</w:t>
      </w:r>
    </w:p>
    <w:p w14:paraId="1D9D5E9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(3)过程性审核材料</w:t>
      </w:r>
      <w:r>
        <w:rPr>
          <w:rFonts w:hint="eastAsia" w:ascii="宋体" w:hAnsi="宋体" w:eastAsia="宋体" w:cs="宋体"/>
          <w:sz w:val="21"/>
          <w:szCs w:val="21"/>
          <w:lang w:eastAsia="zh-CN"/>
        </w:rPr>
        <w:t>；</w:t>
      </w:r>
    </w:p>
    <w:p w14:paraId="3C55FAA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(4)当事人提供的申请材料</w:t>
      </w:r>
      <w:r>
        <w:rPr>
          <w:rFonts w:hint="eastAsia" w:ascii="宋体" w:hAnsi="宋体" w:eastAsia="宋体" w:cs="宋体"/>
          <w:sz w:val="21"/>
          <w:szCs w:val="21"/>
          <w:lang w:eastAsia="zh-CN"/>
        </w:rPr>
        <w:t>；</w:t>
      </w:r>
    </w:p>
    <w:p w14:paraId="6E29DC7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(5)图纸</w:t>
      </w:r>
      <w:r>
        <w:rPr>
          <w:rFonts w:hint="eastAsia" w:ascii="宋体" w:hAnsi="宋体" w:eastAsia="宋体" w:cs="宋体"/>
          <w:sz w:val="21"/>
          <w:szCs w:val="21"/>
          <w:lang w:eastAsia="zh-CN"/>
        </w:rPr>
        <w:t>；</w:t>
      </w:r>
    </w:p>
    <w:p w14:paraId="53A2AC7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(6)其他</w:t>
      </w:r>
      <w:r>
        <w:rPr>
          <w:rFonts w:hint="eastAsia" w:ascii="宋体" w:hAnsi="宋体" w:eastAsia="宋体" w:cs="宋体"/>
          <w:sz w:val="21"/>
          <w:szCs w:val="21"/>
          <w:lang w:eastAsia="zh-CN"/>
        </w:rPr>
        <w:t>；</w:t>
      </w:r>
    </w:p>
    <w:p w14:paraId="592464D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(7)备考表。</w:t>
      </w:r>
    </w:p>
    <w:p w14:paraId="5846C1A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2.5卷内文件页号的编写</w:t>
      </w:r>
    </w:p>
    <w:p w14:paraId="0A378D0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每一页材料编写</w:t>
      </w:r>
      <w:r>
        <w:rPr>
          <w:rFonts w:hint="eastAsia" w:ascii="宋体" w:hAnsi="宋体" w:eastAsia="宋体" w:cs="宋体"/>
          <w:sz w:val="21"/>
          <w:szCs w:val="21"/>
          <w:lang w:eastAsia="zh-CN"/>
        </w:rPr>
        <w:t>一</w:t>
      </w:r>
      <w:r>
        <w:rPr>
          <w:rFonts w:hint="eastAsia" w:ascii="宋体" w:hAnsi="宋体" w:eastAsia="宋体" w:cs="宋体"/>
          <w:sz w:val="21"/>
          <w:szCs w:val="21"/>
        </w:rPr>
        <w:t>个页号。单面书写的材料在右上角编写页号</w:t>
      </w:r>
      <w:r>
        <w:rPr>
          <w:rFonts w:hint="eastAsia" w:ascii="宋体" w:hAnsi="宋体" w:eastAsia="宋体" w:cs="宋体"/>
          <w:sz w:val="21"/>
          <w:szCs w:val="21"/>
          <w:lang w:eastAsia="zh-CN"/>
        </w:rPr>
        <w:t>；</w:t>
      </w:r>
      <w:r>
        <w:rPr>
          <w:rFonts w:hint="eastAsia" w:ascii="宋体" w:hAnsi="宋体" w:eastAsia="宋体" w:cs="宋体"/>
          <w:sz w:val="21"/>
          <w:szCs w:val="21"/>
        </w:rPr>
        <w:t>双面书写的材料，正面在右上角编写、背面在左，上角编写页号。图表、照片可编在与此相应位置的空白处或其背面</w:t>
      </w:r>
      <w:r>
        <w:rPr>
          <w:rFonts w:hint="eastAsia" w:ascii="宋体" w:hAnsi="宋体" w:eastAsia="宋体" w:cs="宋体"/>
          <w:sz w:val="21"/>
          <w:szCs w:val="21"/>
          <w:lang w:eastAsia="zh-CN"/>
        </w:rPr>
        <w:t>。</w:t>
      </w:r>
    </w:p>
    <w:p w14:paraId="42F40C5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编写页号一律使用阿拉伯数字，从“1”开始。</w:t>
      </w:r>
    </w:p>
    <w:p w14:paraId="4B0A37D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3、编写页号后要仔细检查，发现问题应及时采取补救措施。重号</w:t>
      </w:r>
      <w:r>
        <w:rPr>
          <w:rFonts w:hint="eastAsia" w:ascii="宋体" w:hAnsi="宋体" w:eastAsia="宋体" w:cs="宋体"/>
          <w:sz w:val="21"/>
          <w:szCs w:val="21"/>
          <w:lang w:eastAsia="zh-CN"/>
        </w:rPr>
        <w:t>：</w:t>
      </w:r>
      <w:r>
        <w:rPr>
          <w:rFonts w:hint="eastAsia" w:ascii="宋体" w:hAnsi="宋体" w:eastAsia="宋体" w:cs="宋体"/>
          <w:sz w:val="21"/>
          <w:szCs w:val="21"/>
        </w:rPr>
        <w:t>将重号改为支号式。如6号为重号，可改为6-1和6-2，在备考表内注明第6页共两页。漏号</w:t>
      </w:r>
      <w:r>
        <w:rPr>
          <w:rFonts w:hint="eastAsia" w:ascii="宋体" w:hAnsi="宋体" w:eastAsia="宋体" w:cs="宋体"/>
          <w:sz w:val="21"/>
          <w:szCs w:val="21"/>
          <w:lang w:eastAsia="zh-CN"/>
        </w:rPr>
        <w:t>：</w:t>
      </w:r>
      <w:r>
        <w:rPr>
          <w:rFonts w:hint="eastAsia" w:ascii="宋体" w:hAnsi="宋体" w:eastAsia="宋体" w:cs="宋体"/>
          <w:sz w:val="21"/>
          <w:szCs w:val="21"/>
        </w:rPr>
        <w:t>采用分号式。如6页后应是7而编写成8,可将第6页改成6-7,在备考表中注明6-7页共1页。错号:将错号划掉，重新编上正确的页号，并在各考表中加以注明。</w:t>
      </w:r>
    </w:p>
    <w:p w14:paraId="01375D8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4、卷内目录、备考表、封皮不编页号。</w:t>
      </w:r>
    </w:p>
    <w:p w14:paraId="668F7EB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2.6卷内目录的编写</w:t>
      </w:r>
    </w:p>
    <w:p w14:paraId="1F0BB82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卷内目录的编写规则</w:t>
      </w:r>
    </w:p>
    <w:p w14:paraId="6B2DE63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1、档案号:由档案管理系统按照上述的规则自动生成。</w:t>
      </w:r>
    </w:p>
    <w:p w14:paraId="7B9F9AF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2、序号:按卷内材料的排列顺序，每份材料应编写一个顺序号。不重复，不遗漏。</w:t>
      </w:r>
    </w:p>
    <w:p w14:paraId="21DD860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材料名称:每行只允许填写一-份材料的具体名称。如实反映材料的名称。填写该材料自身的标题，不得随意更改和省略。如材料没有标题，应根据材料内容准确、简练地拟写一个标题。材料题名栏内不得填“其他”“法律法规规定的其他材料”等兜底条目。</w:t>
      </w:r>
    </w:p>
    <w:p w14:paraId="444B596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4、页次:填写该材料所在的起始页，最后页应填起止页号。</w:t>
      </w:r>
    </w:p>
    <w:p w14:paraId="208C426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5、备注:应填写需要注明的内容。</w:t>
      </w:r>
    </w:p>
    <w:p w14:paraId="52D189D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6、用纸规格:参照文书档案国家标准，长297毫米，宽210毫米，使用A4纸。</w:t>
      </w:r>
    </w:p>
    <w:p w14:paraId="53CEF80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2.7备考表的填写</w:t>
      </w:r>
    </w:p>
    <w:p w14:paraId="7A95537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备考表的编写规则</w:t>
      </w:r>
    </w:p>
    <w:p w14:paraId="079E2E6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1、备考表用于保护材料，介绍和说明卷内材料变化情况。</w:t>
      </w:r>
    </w:p>
    <w:p w14:paraId="2FD2118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2、备考表每卷一份，如暂时没有情况填写，也要放于卷末，以供日后注记时使用。</w:t>
      </w:r>
    </w:p>
    <w:p w14:paraId="555359D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3、规格:参照文书档案国家标准，长297毫米，宽210毫米，使用150克无酸牛皮纸制作。</w:t>
      </w:r>
    </w:p>
    <w:p w14:paraId="1A0AFDC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4、立卷人:应记教为档案管理系统中创建环节的工作人员。</w:t>
      </w:r>
    </w:p>
    <w:p w14:paraId="00203BE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5、审核人:应记载为档案管理系统中审核环节的工作人员。</w:t>
      </w:r>
    </w:p>
    <w:p w14:paraId="71B054F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6、立</w:t>
      </w:r>
      <w:r>
        <w:rPr>
          <w:rFonts w:hint="eastAsia" w:ascii="宋体" w:hAnsi="宋体" w:eastAsia="宋体" w:cs="宋体"/>
          <w:sz w:val="21"/>
          <w:szCs w:val="21"/>
        </w:rPr>
        <w:t>卷时间:应记载为档案管理系统中发布节点的时间。</w:t>
      </w:r>
    </w:p>
    <w:p w14:paraId="4EC6464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卷内材料</w:t>
      </w:r>
      <w:r>
        <w:rPr>
          <w:rFonts w:hint="eastAsia" w:ascii="宋体" w:hAnsi="宋体" w:eastAsia="宋体" w:cs="宋体"/>
          <w:sz w:val="21"/>
          <w:szCs w:val="21"/>
        </w:rPr>
        <w:t>说明:需要说明的情况。</w:t>
      </w:r>
    </w:p>
    <w:p w14:paraId="7ADB884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2.8封皮和档案盒的标准</w:t>
      </w:r>
    </w:p>
    <w:p w14:paraId="757595A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2.8.1封皮的标准</w:t>
      </w:r>
    </w:p>
    <w:p w14:paraId="5E72855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案卷封皮的规格、样式统规定如下：</w:t>
      </w:r>
    </w:p>
    <w:p w14:paraId="1D66A99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1、案卷封皮的设计及表面尺寸、字体型号、文字排列、设计的规格和处置都应得体，整体划一；</w:t>
      </w:r>
    </w:p>
    <w:p w14:paraId="283433D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2、书写-律自左而右，横写横排，左侧装订，装订线严禁写字、印字；</w:t>
      </w:r>
    </w:p>
    <w:p w14:paraId="3350C42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3、用纸规格:参照文书档案国家标准，长297毫米，宽210毫米，使用150克无酸牛皮纸制作。</w:t>
      </w:r>
    </w:p>
    <w:p w14:paraId="79A6F9C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4、封皮项目包括:立档单位名称、权利人名称、坐落、保管期限、件数和总页数、档案号。</w:t>
      </w:r>
    </w:p>
    <w:p w14:paraId="6FC6E6A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2.8.2档案盒的标准</w:t>
      </w:r>
    </w:p>
    <w:p w14:paraId="4614CBF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档案盒的规格、样式统一格式如下：</w:t>
      </w:r>
    </w:p>
    <w:p w14:paraId="0247A9C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1、档案</w:t>
      </w:r>
      <w:r>
        <w:rPr>
          <w:rFonts w:hint="eastAsia" w:ascii="宋体" w:hAnsi="宋体" w:eastAsia="宋体" w:cs="宋体"/>
          <w:sz w:val="21"/>
          <w:szCs w:val="21"/>
        </w:rPr>
        <w:t>盒的尺寸为:封面320mmX230mm (长X宽)，盒脊厚度可以根据需要设置为20mm、40m、60mm 等规格，使用250克无酸纸制作。</w:t>
      </w:r>
    </w:p>
    <w:p w14:paraId="068E131F">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2、档案盒的封面项目包括:立档单位名称、权利人名称、坐落和档案号。</w:t>
      </w:r>
    </w:p>
    <w:p w14:paraId="44B8ECF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2.9封皮和档案盒项目的填写</w:t>
      </w:r>
    </w:p>
    <w:p w14:paraId="687DAB7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2.9.1填写要求</w:t>
      </w:r>
    </w:p>
    <w:p w14:paraId="55D61B0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封皮的填写采用计算机打印，档案盆的填写可采用计算机打印、手工填写。手工填写时应使用碳素墨水，字体工整，不得涂改。</w:t>
      </w:r>
    </w:p>
    <w:p w14:paraId="7D81FC1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2.9.2封皮填写</w:t>
      </w:r>
    </w:p>
    <w:p w14:paraId="45DEA85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立档</w:t>
      </w:r>
      <w:r>
        <w:rPr>
          <w:rFonts w:hint="eastAsia" w:ascii="宋体" w:hAnsi="宋体" w:eastAsia="宋体" w:cs="宋体"/>
          <w:sz w:val="21"/>
          <w:szCs w:val="21"/>
        </w:rPr>
        <w:t>单位名称</w:t>
      </w:r>
      <w:r>
        <w:rPr>
          <w:rFonts w:hint="eastAsia" w:ascii="宋体" w:hAnsi="宋体" w:eastAsia="宋体" w:cs="宋体"/>
          <w:sz w:val="21"/>
          <w:szCs w:val="21"/>
          <w:lang w:eastAsia="zh-CN"/>
        </w:rPr>
        <w:t>：</w:t>
      </w:r>
      <w:r>
        <w:rPr>
          <w:rFonts w:hint="eastAsia" w:ascii="宋体" w:hAnsi="宋体" w:eastAsia="宋体" w:cs="宋体"/>
          <w:sz w:val="21"/>
          <w:szCs w:val="21"/>
        </w:rPr>
        <w:t>填写中心名全称</w:t>
      </w:r>
      <w:r>
        <w:rPr>
          <w:rFonts w:hint="eastAsia" w:ascii="宋体" w:hAnsi="宋体" w:eastAsia="宋体" w:cs="宋体"/>
          <w:sz w:val="21"/>
          <w:szCs w:val="21"/>
          <w:lang w:eastAsia="zh-CN"/>
        </w:rPr>
        <w:t>；</w:t>
      </w:r>
    </w:p>
    <w:p w14:paraId="4A31DF2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2、权利人:以不动产要登记簿记载的信息为准；</w:t>
      </w:r>
    </w:p>
    <w:p w14:paraId="4AEDEDA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3、坐落:以不动产登记簿记载的信息为准；</w:t>
      </w:r>
    </w:p>
    <w:p w14:paraId="693EDE7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4、保管期限:一般为临时、长期和永久三种形式:</w:t>
      </w:r>
    </w:p>
    <w:p w14:paraId="7F1B17C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5、件数和总页数以档案实际材料数量为准；</w:t>
      </w:r>
    </w:p>
    <w:p w14:paraId="4A75F37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6、档案号:以档案管理系统生成的信息为准。</w:t>
      </w:r>
    </w:p>
    <w:p w14:paraId="54E28A6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2.9.3档案盒填写</w:t>
      </w:r>
    </w:p>
    <w:p w14:paraId="33D7C23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1、立档单位名称:填写中心名称全称；</w:t>
      </w:r>
    </w:p>
    <w:p w14:paraId="062A456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2、权利人:以不动产登记簿记载的信息为准；</w:t>
      </w:r>
    </w:p>
    <w:p w14:paraId="146A99F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3、坐落:以不动产登记簿记载的信息为准；</w:t>
      </w:r>
    </w:p>
    <w:p w14:paraId="5D97CA6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4、档案号:根据内置已装订档案实际情况填写。</w:t>
      </w:r>
    </w:p>
    <w:p w14:paraId="1812EBF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2.9.4盒脊填写</w:t>
      </w:r>
    </w:p>
    <w:p w14:paraId="2DB9550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1、可以通过打印、手工填写或粘贴的形式标注档案号；</w:t>
      </w:r>
    </w:p>
    <w:p w14:paraId="55C0E77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2、盒内只装卷的填写该卷的档案号，装N卷的填写1号档案号-N号档案号。</w:t>
      </w:r>
    </w:p>
    <w:p w14:paraId="6E4DEB9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2.10不动产登记档案的装订</w:t>
      </w:r>
    </w:p>
    <w:p w14:paraId="73355F0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2.10.1装订前准备工作</w:t>
      </w:r>
    </w:p>
    <w:p w14:paraId="72C0AF8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1、材料上的金属物全部剔除干净，操作时不得损坏材料，不得对材料进行剪裁</w:t>
      </w:r>
      <w:r>
        <w:rPr>
          <w:rFonts w:hint="eastAsia" w:ascii="宋体" w:hAnsi="宋体" w:eastAsia="宋体" w:cs="宋体"/>
          <w:sz w:val="21"/>
          <w:szCs w:val="21"/>
          <w:lang w:eastAsia="zh-CN"/>
        </w:rPr>
        <w:t>；</w:t>
      </w:r>
    </w:p>
    <w:p w14:paraId="6CC7B8F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破损</w:t>
      </w:r>
      <w:r>
        <w:rPr>
          <w:rFonts w:hint="eastAsia" w:ascii="宋体" w:hAnsi="宋体" w:eastAsia="宋体" w:cs="宋体"/>
          <w:sz w:val="21"/>
          <w:szCs w:val="21"/>
        </w:rPr>
        <w:t>的或幅面过小的材料应用A4白衬纸托裱，1页衬纸应托裱1份材料，不得托裱2份以上材料</w:t>
      </w:r>
      <w:r>
        <w:rPr>
          <w:rFonts w:hint="eastAsia" w:ascii="宋体" w:hAnsi="宋体" w:eastAsia="宋体" w:cs="宋体"/>
          <w:sz w:val="21"/>
          <w:szCs w:val="21"/>
          <w:lang w:eastAsia="zh-CN"/>
        </w:rPr>
        <w:t>；</w:t>
      </w:r>
      <w:r>
        <w:rPr>
          <w:rFonts w:hint="eastAsia" w:ascii="宋体" w:hAnsi="宋体" w:eastAsia="宋体" w:cs="宋体"/>
          <w:sz w:val="21"/>
          <w:szCs w:val="21"/>
        </w:rPr>
        <w:t>字迹扩散的应复制并与原件一起存档，原件在前，复印件在后</w:t>
      </w:r>
      <w:r>
        <w:rPr>
          <w:rFonts w:hint="eastAsia" w:ascii="宋体" w:hAnsi="宋体" w:eastAsia="宋体" w:cs="宋体"/>
          <w:sz w:val="21"/>
          <w:szCs w:val="21"/>
          <w:lang w:eastAsia="zh-CN"/>
        </w:rPr>
        <w:t>；</w:t>
      </w:r>
    </w:p>
    <w:p w14:paraId="34F66C5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3、卷内材料大于A4幅面的，应按A4大小折叠整齐，并预留出装订边际，便于装订和后期翻阅</w:t>
      </w:r>
      <w:r>
        <w:rPr>
          <w:rFonts w:hint="eastAsia" w:ascii="宋体" w:hAnsi="宋体" w:eastAsia="宋体" w:cs="宋体"/>
          <w:sz w:val="21"/>
          <w:szCs w:val="21"/>
          <w:lang w:eastAsia="zh-CN"/>
        </w:rPr>
        <w:t>；</w:t>
      </w:r>
    </w:p>
    <w:p w14:paraId="6B438AA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4、凡是遇有火漆、铅封、蜡封等装订成册的材料以及公证书等法律证明文件，不要改变原装订方式。</w:t>
      </w:r>
    </w:p>
    <w:p w14:paraId="51A09E6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2.10.2不动产登记档案的装订</w:t>
      </w:r>
    </w:p>
    <w:p w14:paraId="52AC234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1、卷内材料应向左下角对齐。装订孔中心线距材料左边际应为12.5mm；</w:t>
      </w:r>
    </w:p>
    <w:p w14:paraId="5CC7659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2、根据工作需要，可以采用三孔一线法(材料较少可以采用二孔一线法)、热熔机装订法、缝纫机缝边装订法等形式。在材料左侧装订、孔间距7厘米；</w:t>
      </w:r>
    </w:p>
    <w:p w14:paraId="059BA7D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3、大型图纸折叠后过厚的，应在装订线位置加入垫片保持其平整；</w:t>
      </w:r>
    </w:p>
    <w:p w14:paraId="685BD3F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4、卷内材料与封皮装订在一起，做到整齐美观，不压字、不掉页、不妨碍阅读；</w:t>
      </w:r>
    </w:p>
    <w:p w14:paraId="0D2DDCD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5、图纸数量较多的，可将图纸单独立卷；</w:t>
      </w:r>
    </w:p>
    <w:p w14:paraId="70359DF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6、涉及到房产证书和不动产证书的，可以将最外侧硬纸皮去掉。</w:t>
      </w:r>
    </w:p>
    <w:p w14:paraId="142B5E6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2.11不动产登记档案的装盒</w:t>
      </w:r>
    </w:p>
    <w:p w14:paraId="5DEDFCD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1、档案盒内可只装一个登记档案，也可将多个关联档案号的登记档案装一个盒，根据登记档案数量的多少选择适当厚度的档案盒，盒内要留出一定的富余量；</w:t>
      </w:r>
    </w:p>
    <w:p w14:paraId="194D526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2、一份登记业务对应的档案材料多，一盒不能全部装下，可以装入另一个档案盒，做好关联性标注，依次排列。</w:t>
      </w:r>
    </w:p>
    <w:p w14:paraId="05718B5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2.12不动产登记档案的入库和上架</w:t>
      </w:r>
    </w:p>
    <w:p w14:paraId="771E9607">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1、装订后的档案，采用密集架的形式存放，按照档案号的流水号从左到右，从下到上的方法存放。</w:t>
      </w:r>
    </w:p>
    <w:p w14:paraId="7578304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2、密集架侧面应标明内存档案的起止号，每层应标注本层的起止号。</w:t>
      </w:r>
    </w:p>
    <w:p w14:paraId="208A9E8E">
      <w:pPr>
        <w:pStyle w:val="14"/>
        <w:keepNext w:val="0"/>
        <w:keepLines w:val="0"/>
        <w:pageBreakBefore w:val="0"/>
        <w:kinsoku/>
        <w:wordWrap/>
        <w:overflowPunct/>
        <w:topLinePunct w:val="0"/>
        <w:autoSpaceDE/>
        <w:autoSpaceDN/>
        <w:bidi w:val="0"/>
        <w:adjustRightInd/>
        <w:snapToGrid/>
        <w:spacing w:after="0" w:line="500" w:lineRule="exact"/>
        <w:ind w:left="422"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3、电子档案管理</w:t>
      </w:r>
    </w:p>
    <w:p w14:paraId="4FE9A1F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3.1一般规定</w:t>
      </w:r>
    </w:p>
    <w:p w14:paraId="699D7E5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1、为加强对本市不动产登记电子档案的归档与管理，保障不动产登记电子档案的安全和有效利用，依据于国家标准《电子文件归档与管理规范》(GB/T18894- 2002)。</w:t>
      </w:r>
    </w:p>
    <w:p w14:paraId="4B9029D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2、不动产登记电子档案是指在不动产登记过程中行成的具有参考和利用价值并作为档案保存的电子材料。包括电子档案目录、电子登记簿以及纸质档案的数字化加工处理成果。</w:t>
      </w:r>
    </w:p>
    <w:p w14:paraId="083E0B9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3、各单位档案管理机构负责电档案的管理、利用及涉密电子档案的保密监督管理，协助信息化部门为电子档案管理提供信息化支持。</w:t>
      </w:r>
    </w:p>
    <w:p w14:paraId="3C2E7C0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4、电子登记簿应按照不动产登记基本单元建立，录入各类属性数据，形成登记簿数据库，并与电子档案目录形成关联。</w:t>
      </w:r>
    </w:p>
    <w:p w14:paraId="036DD2D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3.2数字化处理流程</w:t>
      </w:r>
    </w:p>
    <w:p w14:paraId="0AD9201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数字化处理基本流程应包括案卷整理、数据关联、档案扫描、图像处理、图像上传、数据验收、数据备份与异地保存。</w:t>
      </w:r>
    </w:p>
    <w:p w14:paraId="7FC2485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数字化处理过程中应加强纸质档案数字化各环节的安全保密管理，确保档案原件和数字化档案信息的安全，同时纸质档案数字化的各个环节均应进行详细的登记，并及时整理、汇总，装订成册，在数字化工作完成的同时建立起完整、规范记录。</w:t>
      </w:r>
    </w:p>
    <w:p w14:paraId="5D0DDBB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3.3数据化处理要求</w:t>
      </w:r>
    </w:p>
    <w:p w14:paraId="1FB71E0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3.3.1扫描处理方式</w:t>
      </w:r>
    </w:p>
    <w:p w14:paraId="1455F7A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1、纸张状况好的档案材料可通过采用高速扫描方式以提高工作效率。</w:t>
      </w:r>
    </w:p>
    <w:p w14:paraId="2933E029">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2、纸张状况较差，以及过薄、过软或超厚的档案，宜采用平板扫描方式。</w:t>
      </w:r>
    </w:p>
    <w:p w14:paraId="0E2E82D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3、不适合拆卷、折叠页或大幅面的档案材料建议使用高拍仪或大幅面扫描仪的方式，也可采用小幅面扫描后的图像拼接方式处理。</w:t>
      </w:r>
    </w:p>
    <w:p w14:paraId="4646256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3.3.2色彩和分分辨率的选择</w:t>
      </w:r>
    </w:p>
    <w:p w14:paraId="68EEDD9D">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1、默认采用彩色模式进行扫描，对各种村料保持展有的色影。</w:t>
      </w:r>
    </w:p>
    <w:p w14:paraId="1F9FB72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2、扫描分辨率参数大小的选择，原则上以扫描后的图像清晰、完整、不影响图像的利用效果为准。</w:t>
      </w:r>
    </w:p>
    <w:p w14:paraId="16DA228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3、采用彩色模式对档案进行扫描时，其分辩率宜进择150dpi.特殊情况下，如文字偏小、密集、清晰度较差等可可适当提高分辨率。</w:t>
      </w:r>
    </w:p>
    <w:p w14:paraId="6694EDE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3.3.3数字化图像处理要求</w:t>
      </w:r>
    </w:p>
    <w:p w14:paraId="376289C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1、图像纠偏</w:t>
      </w:r>
    </w:p>
    <w:p w14:paraId="395EB1F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采用自动或手动纠偏功能，调整图像角度。图像偏斜度不超过2度，对方向不正确的图像应进行旋转还原，以符合阅读习惯。</w:t>
      </w:r>
    </w:p>
    <w:p w14:paraId="32AA55D5">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2、图像去污</w:t>
      </w:r>
    </w:p>
    <w:p w14:paraId="0F66E702">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对图像页面中出现的影响图像质量的杂质，如黑点、黑线、照框、黑边等应进行去污处理。处理过程中应遵循保持档案原貌的原则。</w:t>
      </w:r>
    </w:p>
    <w:p w14:paraId="0E14638A">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3、图像拼接对大幅面档案进行分区扫描形成的多幅图像，应进行拼接处理，合并为一个完整的图像，以保证档案数字化图像的整体性。</w:t>
      </w:r>
    </w:p>
    <w:p w14:paraId="0CEC7FD4">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4、采用彩色模式扫描的图像应进行裁边处理，去除多余的白边，以有效缩小图像材料的容量，节省存储空间。</w:t>
      </w:r>
    </w:p>
    <w:p w14:paraId="254DB0C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3.3.4存储格式</w:t>
      </w:r>
    </w:p>
    <w:p w14:paraId="570365A6">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1、一般宜采用JPEG图片格式存储，确保需扫描的每页材料对应一张影像图片。</w:t>
      </w:r>
    </w:p>
    <w:p w14:paraId="7E8A24D8">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2、存储时的压缩率的选择，应以保证扫描的图像清晰可读，为前提，尽量减小存储容量为准则。</w:t>
      </w:r>
    </w:p>
    <w:p w14:paraId="1E27164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3、图像材料的命名应确保其唯一性，并应与电子档案目录形成对应。</w:t>
      </w:r>
    </w:p>
    <w:p w14:paraId="5368866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3.4数字化成果汇总</w:t>
      </w:r>
    </w:p>
    <w:p w14:paraId="69DBFB0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化成果汇总应当符合下列规定:不动产登记档案数字化加工过程中形成的目录数据库与图像材料，应通过网络及时加载到数据服务器端汇总、验收。并实现目录数据对相关联的数字图像的自动搜索、数字图像的排列顺序应与物理档案相符合。</w:t>
      </w:r>
    </w:p>
    <w:p w14:paraId="690C929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3.5电子档案数据验收</w:t>
      </w:r>
    </w:p>
    <w:p w14:paraId="58DC880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1、电子档案目录与电子登记簿录入质量，对录入的目录数据和登记簿数据应进行抽检，抽检率不得低于25%，抽检错误率不得高于1%。</w:t>
      </w:r>
    </w:p>
    <w:p w14:paraId="69025B6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2、对纸质材料扫描后形成的图像材料应进行清晰度、污渍、黑边、偏斜等问题的控制，以达到要求的图像质量。保证扫描后的数字图像清晰,便于清楚阅读，适应于各种纸张和手写、印刷字的情况。</w:t>
      </w:r>
    </w:p>
    <w:p w14:paraId="0AA2AF5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3.6电子档案备份和保存</w:t>
      </w:r>
    </w:p>
    <w:p w14:paraId="6573B63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3.6.1备份范围</w:t>
      </w:r>
    </w:p>
    <w:p w14:paraId="7B72000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电子档案目录、电子登记簿以及纸质档案的数字化加工处理成果均应进行备份。</w:t>
      </w:r>
    </w:p>
    <w:p w14:paraId="389418CE">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3.6.2备份方式</w:t>
      </w:r>
    </w:p>
    <w:p w14:paraId="2096E7D1">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为保证不动产登记档案数据的安全性，备份载体的选择性也应多样化，应做好在线增量备份、定时完全备份以及异地容灾体系。</w:t>
      </w:r>
    </w:p>
    <w:p w14:paraId="3592233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1、在线增量备份</w:t>
      </w:r>
    </w:p>
    <w:p w14:paraId="435BA2D3">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至少每天一次做好增量数据和材料备份，也可根据自身的设备和资金情况，制定更为严谨的备份策略。</w:t>
      </w:r>
    </w:p>
    <w:p w14:paraId="4DE483DC">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2、定时完全备份</w:t>
      </w:r>
    </w:p>
    <w:p w14:paraId="55705B3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少应每周一次定时做好完全备份，并根据自身条件，建立至少每年一次的离线存放制度。存放地点除要满足防火、防盗、防高温、防潮、防光、防尘、防污染、防有害气体和防有害生物的要求，还应采用专用的防磁柜存放。</w:t>
      </w:r>
    </w:p>
    <w:p w14:paraId="5131EF10">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异地容灾体系建立异地容灾体系，应对可能的灾害事故。异地容灾保存的数据存放地点至少保证与源数据存放地点间隔距离不得小于20KM。数据与灾备机房的设计应符合现行国家标准《电子信息系统机房设计规范》GB50174的规定。</w:t>
      </w:r>
    </w:p>
    <w:p w14:paraId="788647EB">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4、备份数据检验备份数据应定期进行检验。检验内容主要包括备份数据能否打开、数据信息是否完整、材料数量是否准确等。</w:t>
      </w:r>
    </w:p>
    <w:p w14:paraId="3AD59BC1">
      <w:pPr>
        <w:keepNext w:val="0"/>
        <w:keepLines w:val="0"/>
        <w:pageBreakBefore w:val="0"/>
        <w:widowControl/>
        <w:kinsoku/>
        <w:wordWrap/>
        <w:overflowPunct/>
        <w:topLinePunct w:val="0"/>
        <w:autoSpaceDE/>
        <w:autoSpaceDN/>
        <w:bidi w:val="0"/>
        <w:adjustRightInd/>
        <w:snapToGrid/>
        <w:spacing w:after="0" w:line="500" w:lineRule="exact"/>
        <w:textAlignment w:val="baseline"/>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rPr>
        <w:t>附件二</w:t>
      </w:r>
    </w:p>
    <w:p w14:paraId="6063BB99">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82" w:firstLineChars="200"/>
        <w:jc w:val="center"/>
        <w:textAlignment w:val="baseline"/>
        <w:outlineLvl w:val="9"/>
        <w:rPr>
          <w:rFonts w:hint="eastAsia" w:ascii="宋体" w:hAnsi="宋体" w:eastAsia="宋体" w:cs="宋体"/>
          <w:b/>
        </w:rPr>
      </w:pPr>
      <w:bookmarkStart w:id="76" w:name="_Toc27609_WPSOffice_Level2"/>
      <w:bookmarkStart w:id="77" w:name="_Toc12362_WPSOffice_Level2"/>
      <w:bookmarkStart w:id="78" w:name="_Toc11054_WPSOffice_Level2"/>
      <w:bookmarkStart w:id="79" w:name="_Toc17434"/>
      <w:r>
        <w:rPr>
          <w:rFonts w:hint="eastAsia" w:ascii="宋体" w:hAnsi="宋体" w:eastAsia="宋体" w:cs="宋体"/>
          <w:b/>
        </w:rPr>
        <w:t>档案整理服务保密协议</w:t>
      </w:r>
      <w:bookmarkEnd w:id="76"/>
      <w:bookmarkEnd w:id="77"/>
      <w:bookmarkEnd w:id="78"/>
      <w:bookmarkEnd w:id="79"/>
    </w:p>
    <w:p w14:paraId="43A4DA49">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lang w:eastAsia="zh-CN"/>
        </w:rPr>
      </w:pPr>
      <w:r>
        <w:rPr>
          <w:rFonts w:hint="eastAsia" w:ascii="宋体" w:hAnsi="宋体" w:eastAsia="宋体" w:cs="宋体"/>
          <w:bCs/>
          <w:sz w:val="21"/>
          <w:szCs w:val="21"/>
        </w:rPr>
        <w:t>委托方 (甲方)</w:t>
      </w:r>
      <w:r>
        <w:rPr>
          <w:rFonts w:hint="eastAsia" w:ascii="宋体" w:hAnsi="宋体" w:eastAsia="宋体" w:cs="宋体"/>
          <w:bCs/>
          <w:sz w:val="21"/>
          <w:szCs w:val="21"/>
          <w:lang w:val="en-US" w:eastAsia="zh-CN"/>
        </w:rPr>
        <w:t>:</w:t>
      </w:r>
      <w:r>
        <w:rPr>
          <w:rFonts w:hint="eastAsia" w:ascii="宋体" w:hAnsi="宋体" w:eastAsia="宋体" w:cs="宋体"/>
          <w:bCs/>
          <w:sz w:val="21"/>
          <w:szCs w:val="21"/>
          <w:lang w:eastAsia="zh-CN"/>
        </w:rPr>
        <w:t>郑州市自然资源和规划局高新分局</w:t>
      </w:r>
    </w:p>
    <w:p w14:paraId="13209BE0">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 xml:space="preserve">受托方 (乙方): </w:t>
      </w:r>
    </w:p>
    <w:p w14:paraId="7DF51514">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鉴于乙方为甲方档案整理服务,为在项目实施期间保证档案原件安全和项目实施期间以及实施完成以后保护因工作需要接触到的甲方档案信息秘密等有关事项,经友好协商这成如下条款,双方共同遵守。</w:t>
      </w:r>
    </w:p>
    <w:p w14:paraId="7DD1C847">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一、双方确认</w:t>
      </w:r>
      <w:r>
        <w:rPr>
          <w:rFonts w:hint="eastAsia" w:ascii="宋体" w:hAnsi="宋体" w:eastAsia="宋体" w:cs="宋体"/>
          <w:bCs/>
          <w:sz w:val="21"/>
          <w:szCs w:val="21"/>
          <w:lang w:eastAsia="zh-CN"/>
        </w:rPr>
        <w:t>：</w:t>
      </w:r>
      <w:r>
        <w:rPr>
          <w:rFonts w:hint="eastAsia" w:ascii="宋体" w:hAnsi="宋体" w:eastAsia="宋体" w:cs="宋体"/>
          <w:bCs/>
          <w:sz w:val="21"/>
          <w:szCs w:val="21"/>
        </w:rPr>
        <w:t>在项目实施期间,因工作需要接触到甲方的纸质档案、声像档案、实物档案、档案目录以及电子文件等,乙方必须保守机密,不得以任何方式带出工作场所或向外泄露,乙方同时提供一切必要的方式和采取一切必要的行动,协助甲方保证档案安全和保守档案秘密。</w:t>
      </w:r>
    </w:p>
    <w:p w14:paraId="72E36BC6">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二、项目实施期间,乙方必须遵守甲方规定的任何成文或不成文的保密规章制度,履行相应的保密职责。甲方的保密规章、制度没有规定或者规定不明确之处,乙方亦应本着谨慎、诚实的态度,采取任何必要、合理的措施,维护其于项目实施期间接触到的任何属于甲方或者虽属于第三方,但甲方承诺有保密义务的档案相关材料,以保证其机密性。</w:t>
      </w:r>
    </w:p>
    <w:p w14:paraId="3973C435">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三、除了项目实施期间必要的工作需要之外,乙方承诺:未经甲方同意,不得以泄露、告知、公布、发布、出版、传授、转让或者其他任何方式使任何第三方(包括按照保密制度的规定不得知悉该项秘密的甲方其他工作人员)知悉属于甲方或者虽属于第三方,但甲方承诺有档案信息秘密及与档案信息相关的信息的保密义务,也不得在项目实施期间必要的工作之外使用这些秘密信息。</w:t>
      </w:r>
    </w:p>
    <w:p w14:paraId="29D056CE">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四、双方同意,乙方在项目完成后仍对其在为甲方档案整理服务期间接触或因接触而知悉的属于甲方或者虽属于第三方,但甲方承诺有保密义务的档案信息秘密和其他与档案数字化加工相关的信息,承担如同任职期间一样的保密义务和不得以任何方式泄露的义务,乙方在项目完成后承担保密义务的期限为无限期保密,直至甲方宣布档案公开或者档案信息实际上已经公开,乙方同意就项目完成后所承担的保密义务,甲方不再向乙方支付任何保密费用。</w:t>
      </w:r>
    </w:p>
    <w:p w14:paraId="168FCCC7">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五、乙方承诺, 在为甲方实施档案整理 服务期间,不得擅自使用任何属于他人的技术秘密或其他商业秘密信息,亦不得擅自实施可能侵犯他人知识产权的行为。若乙方违反上述承诺而导致甲方遭受第三方的侵仅指控时,乙方应当承担甲方为应诉而支付的一切费用；甲方因此而承担侵权赔偿责任的,有权向乙方追偿,上述应诉费用和侵权赔偿可以从乙方的项目款中扣除。</w:t>
      </w:r>
    </w:p>
    <w:p w14:paraId="177882AD">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六、乙方在项目实施期间,按照甲方的明确要求或者为了完成甲方明确交付的具体工作任务必然导致侵犯他人知识产权的,若甲方遭受第三方的侵权指控,应诉费用和侵权赔偿不得由乙方承担或部分承担。</w:t>
      </w:r>
    </w:p>
    <w:p w14:paraId="25608D41">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七、乙方因项目实施工作上的需要所持有或保管的一切记录着甲方档案信息的文件、资料、图表、笔记、报告、信件、传真、磁带、磁盘、仪器以及其他任何形式的载体,均归甲方所有,而无论这些秘密信息有无任何价值。若记录的秘密信息的载体是由乙方自备的,则视为乙方已同意将这些载体物的所有权转让给甲方,甲方应当在乙方返还这些载体时,给予乙方相当于载体本身价值的经济补偿。</w:t>
      </w:r>
    </w:p>
    <w:p w14:paraId="4B1D7867">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八、乙方应当于项目实施完成时,或者于甲方提出请求时,返还全部属于甲方的财物,包括记载着甲方秘密信息的,但当记录着秘密信息的载体是由乙方自备的,且秘密信息可以从载体上消除或者复制出来时,可以由甲方将秘密信息复制到甲方享有所有权的其他载体上,并把原载体上的秘密信息消除。此种情况乙方无须将载体返还, 甲方也无须给子乙方经济补偿。</w:t>
      </w:r>
    </w:p>
    <w:p w14:paraId="30BF23C4">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九、本协议所提及的档案秘密信息,包括但不限于</w:t>
      </w:r>
      <w:r>
        <w:rPr>
          <w:rFonts w:hint="eastAsia" w:ascii="宋体" w:hAnsi="宋体" w:eastAsia="宋体" w:cs="宋体"/>
          <w:bCs/>
          <w:sz w:val="21"/>
          <w:szCs w:val="21"/>
          <w:lang w:eastAsia="zh-CN"/>
        </w:rPr>
        <w:t>：</w:t>
      </w:r>
      <w:r>
        <w:rPr>
          <w:rFonts w:hint="eastAsia" w:ascii="宋体" w:hAnsi="宋体" w:eastAsia="宋体" w:cs="宋体"/>
          <w:bCs/>
          <w:sz w:val="21"/>
          <w:szCs w:val="21"/>
        </w:rPr>
        <w:t>档案、档案中记载的人名、档案中记载的事件、纸质档案本身、其它载体的档案、档案目录、相案电子原文、档案电子化处理扫描文件加工前的文件、档案电子化处理扫描文件加工后的文件、档案的封皮、加工过程中的数据库、加工档案整理记录</w:t>
      </w:r>
      <w:r>
        <w:rPr>
          <w:rFonts w:hint="eastAsia" w:ascii="宋体" w:hAnsi="宋体" w:eastAsia="宋体" w:cs="宋体"/>
          <w:bCs/>
          <w:sz w:val="21"/>
          <w:szCs w:val="21"/>
          <w:lang w:eastAsia="zh-CN"/>
        </w:rPr>
        <w:t>，</w:t>
      </w:r>
      <w:r>
        <w:rPr>
          <w:rFonts w:hint="eastAsia" w:ascii="宋体" w:hAnsi="宋体" w:eastAsia="宋体" w:cs="宋体"/>
          <w:bCs/>
          <w:sz w:val="21"/>
          <w:szCs w:val="21"/>
        </w:rPr>
        <w:t>加工档案整理报告、档案检验报告、项目备忘录</w:t>
      </w:r>
      <w:r>
        <w:rPr>
          <w:rFonts w:hint="eastAsia" w:ascii="宋体" w:hAnsi="宋体" w:eastAsia="宋体" w:cs="宋体"/>
          <w:bCs/>
          <w:sz w:val="21"/>
          <w:szCs w:val="21"/>
          <w:lang w:eastAsia="zh-CN"/>
        </w:rPr>
        <w:t>，</w:t>
      </w:r>
      <w:r>
        <w:rPr>
          <w:rFonts w:hint="eastAsia" w:ascii="宋体" w:hAnsi="宋体" w:eastAsia="宋体" w:cs="宋体"/>
          <w:bCs/>
          <w:sz w:val="21"/>
          <w:szCs w:val="21"/>
        </w:rPr>
        <w:t>技术文档、相关的函电等。</w:t>
      </w:r>
    </w:p>
    <w:p w14:paraId="18CE733E">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十、因本协议而引起的纠纷,如果协商解决不成,任何一方均有权提起诉讼。双方同意,选择甲方所在地的,符合级别管辖规定的人民法院作为双方合同纠纷的第一审管辖法院,上述約定不影响甲方请求知识产权管理部门对侵权行为进行行政处理。乙方的违约行为给甲方造成损失的,乙方应当赔偿甲方的损失。</w:t>
      </w:r>
    </w:p>
    <w:p w14:paraId="39FE7B48">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十一、本协议自双方签字或盖章完成之日起生效。</w:t>
      </w:r>
    </w:p>
    <w:p w14:paraId="5480631E">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十二、本协议如与双方以前的口头或书面协议有抵触,以本协议为准,本协议的修改必须来用双方同意的书面形式。</w:t>
      </w:r>
    </w:p>
    <w:p w14:paraId="70F57C60">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十三、双方确认，在签署本协议前已仔细审阅过协议内容,并完全了解协议中各条款的法律含义。</w:t>
      </w:r>
    </w:p>
    <w:p w14:paraId="73F61959">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p>
    <w:p w14:paraId="26F26889">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lang w:eastAsia="zh-CN"/>
        </w:rPr>
      </w:pPr>
      <w:r>
        <w:rPr>
          <w:rFonts w:hint="eastAsia" w:ascii="宋体" w:hAnsi="宋体" w:eastAsia="宋体" w:cs="宋体"/>
          <w:bCs/>
          <w:sz w:val="21"/>
          <w:szCs w:val="21"/>
        </w:rPr>
        <w:t>甲方（盖章）</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乙方（盖章）</w:t>
      </w:r>
      <w:r>
        <w:rPr>
          <w:rFonts w:hint="eastAsia" w:ascii="宋体" w:hAnsi="宋体" w:eastAsia="宋体" w:cs="宋体"/>
          <w:bCs/>
          <w:sz w:val="21"/>
          <w:szCs w:val="21"/>
          <w:lang w:eastAsia="zh-CN"/>
        </w:rPr>
        <w:t>：</w:t>
      </w:r>
    </w:p>
    <w:p w14:paraId="032AFBF8">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lang w:eastAsia="zh-CN"/>
        </w:rPr>
      </w:pPr>
      <w:r>
        <w:rPr>
          <w:rFonts w:hint="eastAsia" w:ascii="宋体" w:hAnsi="宋体" w:eastAsia="宋体" w:cs="宋体"/>
          <w:bCs/>
          <w:sz w:val="21"/>
          <w:szCs w:val="21"/>
        </w:rPr>
        <w:t>地址</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地址</w:t>
      </w:r>
      <w:r>
        <w:rPr>
          <w:rFonts w:hint="eastAsia" w:ascii="宋体" w:hAnsi="宋体" w:eastAsia="宋体" w:cs="宋体"/>
          <w:bCs/>
          <w:sz w:val="21"/>
          <w:szCs w:val="21"/>
          <w:lang w:eastAsia="zh-CN"/>
        </w:rPr>
        <w:t>：</w:t>
      </w:r>
    </w:p>
    <w:p w14:paraId="45FD8C9E">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lang w:eastAsia="zh-CN"/>
        </w:rPr>
      </w:pPr>
      <w:r>
        <w:rPr>
          <w:rFonts w:hint="eastAsia" w:ascii="宋体" w:hAnsi="宋体" w:eastAsia="宋体" w:cs="宋体"/>
          <w:bCs/>
          <w:sz w:val="21"/>
          <w:szCs w:val="21"/>
        </w:rPr>
        <w:t>电话</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电话</w:t>
      </w:r>
      <w:r>
        <w:rPr>
          <w:rFonts w:hint="eastAsia" w:ascii="宋体" w:hAnsi="宋体" w:eastAsia="宋体" w:cs="宋体"/>
          <w:bCs/>
          <w:sz w:val="21"/>
          <w:szCs w:val="21"/>
          <w:lang w:eastAsia="zh-CN"/>
        </w:rPr>
        <w:t>：</w:t>
      </w:r>
    </w:p>
    <w:p w14:paraId="2942AA18">
      <w:pPr>
        <w:pStyle w:val="14"/>
        <w:keepNext w:val="0"/>
        <w:keepLines w:val="0"/>
        <w:pageBreakBefore w:val="0"/>
        <w:widowControl/>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代表人（签字）</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     代表人（签字）</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w:t>
      </w:r>
    </w:p>
    <w:p w14:paraId="37A9DC93">
      <w:pPr>
        <w:pageBreakBefore w:val="0"/>
        <w:kinsoku/>
        <w:wordWrap/>
        <w:overflowPunct/>
        <w:autoSpaceDE/>
        <w:autoSpaceDN/>
        <w:bidi w:val="0"/>
        <w:spacing w:after="0" w:line="560" w:lineRule="exact"/>
        <w:jc w:val="center"/>
        <w:outlineLvl w:val="0"/>
        <w:rPr>
          <w:rStyle w:val="97"/>
          <w:b/>
          <w:color w:val="auto"/>
          <w:sz w:val="24"/>
          <w:szCs w:val="24"/>
          <w:highlight w:val="none"/>
        </w:rPr>
      </w:pPr>
      <w:r>
        <w:rPr>
          <w:rFonts w:hint="eastAsia" w:ascii="宋体" w:hAnsi="宋体" w:cs="宋体"/>
          <w:color w:val="auto"/>
        </w:rPr>
        <w:br w:type="page"/>
      </w:r>
      <w:bookmarkStart w:id="80" w:name="_Toc23267"/>
      <w:bookmarkStart w:id="81" w:name="_Toc19603"/>
      <w:bookmarkStart w:id="82" w:name="_Toc20493"/>
      <w:bookmarkStart w:id="83" w:name="_Toc30917"/>
      <w:r>
        <w:rPr>
          <w:rStyle w:val="40"/>
          <w:rFonts w:hint="eastAsia"/>
          <w:color w:val="auto"/>
          <w:sz w:val="24"/>
          <w:szCs w:val="24"/>
          <w:highlight w:val="none"/>
        </w:rPr>
        <w:t>第六章 响应文件格式</w:t>
      </w:r>
      <w:bookmarkEnd w:id="80"/>
      <w:bookmarkEnd w:id="81"/>
      <w:bookmarkEnd w:id="82"/>
      <w:bookmarkEnd w:id="83"/>
    </w:p>
    <w:p w14:paraId="3D95B397">
      <w:pPr>
        <w:pageBreakBefore w:val="0"/>
        <w:kinsoku/>
        <w:wordWrap/>
        <w:overflowPunct/>
        <w:autoSpaceDE/>
        <w:autoSpaceDN/>
        <w:bidi w:val="0"/>
        <w:spacing w:after="0" w:line="560" w:lineRule="exact"/>
        <w:ind w:firstLine="482" w:firstLineChars="200"/>
        <w:rPr>
          <w:rStyle w:val="97"/>
          <w:b/>
          <w:color w:val="auto"/>
          <w:sz w:val="24"/>
          <w:szCs w:val="24"/>
          <w:highlight w:val="none"/>
        </w:rPr>
      </w:pPr>
    </w:p>
    <w:p w14:paraId="3620F0CC">
      <w:pPr>
        <w:pageBreakBefore w:val="0"/>
        <w:kinsoku/>
        <w:wordWrap/>
        <w:overflowPunct/>
        <w:autoSpaceDE/>
        <w:autoSpaceDN/>
        <w:bidi w:val="0"/>
        <w:spacing w:after="0" w:line="560" w:lineRule="exact"/>
        <w:rPr>
          <w:rStyle w:val="97"/>
          <w:color w:val="auto"/>
          <w:sz w:val="24"/>
          <w:szCs w:val="24"/>
          <w:highlight w:val="none"/>
        </w:rPr>
      </w:pPr>
      <w:r>
        <w:rPr>
          <w:rStyle w:val="97"/>
          <w:rFonts w:hint="eastAsia"/>
          <w:color w:val="auto"/>
          <w:sz w:val="24"/>
          <w:szCs w:val="24"/>
          <w:highlight w:val="none"/>
        </w:rPr>
        <w:t>【</w:t>
      </w:r>
      <w:r>
        <w:rPr>
          <w:rStyle w:val="97"/>
          <w:rFonts w:hint="eastAsia"/>
          <w:b/>
          <w:color w:val="auto"/>
          <w:sz w:val="24"/>
          <w:szCs w:val="24"/>
          <w:highlight w:val="none"/>
        </w:rPr>
        <w:t>封面</w:t>
      </w:r>
      <w:r>
        <w:rPr>
          <w:rStyle w:val="97"/>
          <w:rFonts w:hint="eastAsia"/>
          <w:color w:val="auto"/>
          <w:sz w:val="24"/>
          <w:szCs w:val="24"/>
          <w:highlight w:val="none"/>
        </w:rPr>
        <w:t>】</w:t>
      </w:r>
    </w:p>
    <w:p w14:paraId="51B865D7">
      <w:pPr>
        <w:pageBreakBefore w:val="0"/>
        <w:tabs>
          <w:tab w:val="left" w:pos="360"/>
        </w:tabs>
        <w:kinsoku/>
        <w:wordWrap/>
        <w:overflowPunct/>
        <w:autoSpaceDE/>
        <w:autoSpaceDN/>
        <w:bidi w:val="0"/>
        <w:spacing w:after="0" w:line="560" w:lineRule="exact"/>
        <w:jc w:val="center"/>
        <w:rPr>
          <w:rStyle w:val="97"/>
          <w:rFonts w:cs="宋体"/>
          <w:b/>
          <w:bCs/>
          <w:color w:val="auto"/>
          <w:sz w:val="24"/>
          <w:szCs w:val="24"/>
          <w:highlight w:val="none"/>
        </w:rPr>
      </w:pPr>
    </w:p>
    <w:p w14:paraId="7A178DA3">
      <w:pPr>
        <w:pageBreakBefore w:val="0"/>
        <w:tabs>
          <w:tab w:val="left" w:pos="55"/>
        </w:tabs>
        <w:kinsoku/>
        <w:wordWrap/>
        <w:overflowPunct/>
        <w:autoSpaceDE/>
        <w:autoSpaceDN/>
        <w:bidi w:val="0"/>
        <w:spacing w:after="0" w:line="560" w:lineRule="exact"/>
        <w:jc w:val="center"/>
        <w:rPr>
          <w:rStyle w:val="97"/>
          <w:rFonts w:hint="eastAsia" w:eastAsia="宋体" w:cs="宋体"/>
          <w:b/>
          <w:bCs/>
          <w:color w:val="auto"/>
          <w:w w:val="150"/>
          <w:sz w:val="24"/>
          <w:szCs w:val="24"/>
          <w:highlight w:val="none"/>
          <w:lang w:eastAsia="zh-CN"/>
        </w:rPr>
      </w:pPr>
      <w:r>
        <w:rPr>
          <w:rStyle w:val="97"/>
          <w:rFonts w:hint="eastAsia" w:cs="宋体"/>
          <w:b/>
          <w:bCs/>
          <w:color w:val="auto"/>
          <w:sz w:val="24"/>
          <w:szCs w:val="24"/>
          <w:highlight w:val="none"/>
          <w:u w:val="single"/>
        </w:rPr>
        <w:t xml:space="preserve">         </w:t>
      </w:r>
      <w:r>
        <w:rPr>
          <w:rStyle w:val="97"/>
          <w:rFonts w:hint="eastAsia" w:cs="宋体"/>
          <w:b/>
          <w:bCs/>
          <w:color w:val="auto"/>
          <w:sz w:val="24"/>
          <w:szCs w:val="24"/>
          <w:highlight w:val="none"/>
          <w:u w:val="single"/>
          <w:lang w:val="en-US" w:eastAsia="zh-CN"/>
        </w:rPr>
        <w:t xml:space="preserve">                         </w:t>
      </w:r>
      <w:r>
        <w:rPr>
          <w:rStyle w:val="97"/>
          <w:rFonts w:hint="eastAsia" w:cs="宋体"/>
          <w:b/>
          <w:bCs/>
          <w:color w:val="auto"/>
          <w:sz w:val="24"/>
          <w:szCs w:val="24"/>
          <w:highlight w:val="none"/>
          <w:u w:val="single"/>
        </w:rPr>
        <w:t xml:space="preserve">       </w:t>
      </w:r>
      <w:r>
        <w:rPr>
          <w:rStyle w:val="97"/>
          <w:rFonts w:hint="eastAsia" w:cs="宋体"/>
          <w:b/>
          <w:bCs/>
          <w:color w:val="auto"/>
          <w:sz w:val="24"/>
          <w:szCs w:val="24"/>
          <w:highlight w:val="none"/>
          <w:lang w:eastAsia="zh-CN"/>
        </w:rPr>
        <w:t>（</w:t>
      </w:r>
      <w:r>
        <w:rPr>
          <w:rStyle w:val="97"/>
          <w:rFonts w:hint="eastAsia" w:cs="宋体"/>
          <w:b/>
          <w:bCs/>
          <w:color w:val="auto"/>
          <w:sz w:val="24"/>
          <w:szCs w:val="24"/>
          <w:highlight w:val="none"/>
          <w:lang w:val="en-US" w:eastAsia="zh-CN"/>
        </w:rPr>
        <w:t>项目名称</w:t>
      </w:r>
      <w:r>
        <w:rPr>
          <w:rStyle w:val="97"/>
          <w:rFonts w:hint="eastAsia" w:cs="宋体"/>
          <w:b/>
          <w:bCs/>
          <w:color w:val="auto"/>
          <w:sz w:val="24"/>
          <w:szCs w:val="24"/>
          <w:highlight w:val="none"/>
          <w:lang w:eastAsia="zh-CN"/>
        </w:rPr>
        <w:t>）</w:t>
      </w:r>
    </w:p>
    <w:p w14:paraId="7D6C3FAC">
      <w:pPr>
        <w:pageBreakBefore w:val="0"/>
        <w:tabs>
          <w:tab w:val="left" w:pos="1950"/>
        </w:tabs>
        <w:kinsoku/>
        <w:wordWrap/>
        <w:overflowPunct/>
        <w:autoSpaceDE/>
        <w:autoSpaceDN/>
        <w:bidi w:val="0"/>
        <w:spacing w:after="0" w:line="560" w:lineRule="exact"/>
        <w:jc w:val="left"/>
        <w:rPr>
          <w:rStyle w:val="97"/>
          <w:rFonts w:cs="宋体"/>
          <w:b/>
          <w:bCs/>
          <w:color w:val="auto"/>
          <w:w w:val="150"/>
          <w:sz w:val="24"/>
          <w:szCs w:val="24"/>
          <w:highlight w:val="none"/>
        </w:rPr>
      </w:pPr>
    </w:p>
    <w:p w14:paraId="145CB90F">
      <w:pPr>
        <w:pStyle w:val="5"/>
        <w:pageBreakBefore w:val="0"/>
        <w:kinsoku/>
        <w:wordWrap/>
        <w:overflowPunct/>
        <w:autoSpaceDE/>
        <w:autoSpaceDN/>
        <w:bidi w:val="0"/>
        <w:spacing w:line="560" w:lineRule="exact"/>
        <w:ind w:firstLine="560"/>
        <w:rPr>
          <w:color w:val="auto"/>
          <w:sz w:val="24"/>
          <w:szCs w:val="24"/>
          <w:highlight w:val="none"/>
        </w:rPr>
      </w:pPr>
    </w:p>
    <w:p w14:paraId="08185F5D">
      <w:pPr>
        <w:pageBreakBefore w:val="0"/>
        <w:kinsoku/>
        <w:wordWrap/>
        <w:overflowPunct/>
        <w:autoSpaceDE/>
        <w:autoSpaceDN/>
        <w:bidi w:val="0"/>
        <w:spacing w:after="0" w:line="560" w:lineRule="exact"/>
        <w:jc w:val="center"/>
        <w:rPr>
          <w:rStyle w:val="97"/>
          <w:rFonts w:cs="宋体"/>
          <w:b/>
          <w:bCs/>
          <w:color w:val="auto"/>
          <w:sz w:val="24"/>
          <w:szCs w:val="24"/>
          <w:highlight w:val="none"/>
        </w:rPr>
      </w:pPr>
      <w:r>
        <w:rPr>
          <w:rStyle w:val="97"/>
          <w:rFonts w:hint="eastAsia" w:cs="宋体"/>
          <w:b/>
          <w:bCs/>
          <w:color w:val="auto"/>
          <w:sz w:val="24"/>
          <w:szCs w:val="24"/>
          <w:highlight w:val="none"/>
        </w:rPr>
        <w:t>响 应 文 件</w:t>
      </w:r>
    </w:p>
    <w:p w14:paraId="512CF732">
      <w:pPr>
        <w:pageBreakBefore w:val="0"/>
        <w:kinsoku/>
        <w:wordWrap/>
        <w:overflowPunct/>
        <w:autoSpaceDE/>
        <w:autoSpaceDN/>
        <w:bidi w:val="0"/>
        <w:spacing w:after="0" w:line="560" w:lineRule="exact"/>
        <w:jc w:val="center"/>
        <w:rPr>
          <w:rStyle w:val="97"/>
          <w:rFonts w:cs="宋体"/>
          <w:b/>
          <w:bCs/>
          <w:color w:val="auto"/>
          <w:sz w:val="24"/>
          <w:szCs w:val="24"/>
          <w:highlight w:val="none"/>
        </w:rPr>
      </w:pPr>
      <w:r>
        <w:rPr>
          <w:rStyle w:val="97"/>
          <w:rFonts w:hint="eastAsia" w:cs="宋体"/>
          <w:b/>
          <w:bCs/>
          <w:color w:val="auto"/>
          <w:sz w:val="24"/>
          <w:szCs w:val="24"/>
          <w:highlight w:val="none"/>
        </w:rPr>
        <w:t>项目编号：</w:t>
      </w:r>
    </w:p>
    <w:p w14:paraId="4776253C">
      <w:pPr>
        <w:pageBreakBefore w:val="0"/>
        <w:kinsoku/>
        <w:wordWrap/>
        <w:overflowPunct/>
        <w:autoSpaceDE/>
        <w:autoSpaceDN/>
        <w:bidi w:val="0"/>
        <w:spacing w:after="0" w:line="560" w:lineRule="exact"/>
        <w:jc w:val="center"/>
        <w:rPr>
          <w:rStyle w:val="97"/>
          <w:rFonts w:cs="宋体"/>
          <w:b/>
          <w:bCs/>
          <w:color w:val="auto"/>
          <w:sz w:val="24"/>
          <w:szCs w:val="24"/>
          <w:highlight w:val="none"/>
        </w:rPr>
      </w:pPr>
    </w:p>
    <w:p w14:paraId="639AED18">
      <w:pPr>
        <w:pageBreakBefore w:val="0"/>
        <w:kinsoku/>
        <w:wordWrap/>
        <w:overflowPunct/>
        <w:autoSpaceDE/>
        <w:autoSpaceDN/>
        <w:bidi w:val="0"/>
        <w:spacing w:after="0" w:line="560" w:lineRule="exact"/>
        <w:rPr>
          <w:rStyle w:val="97"/>
          <w:rFonts w:cs="宋体"/>
          <w:b/>
          <w:bCs/>
          <w:color w:val="auto"/>
          <w:sz w:val="24"/>
          <w:szCs w:val="24"/>
          <w:highlight w:val="none"/>
        </w:rPr>
      </w:pPr>
    </w:p>
    <w:p w14:paraId="70A963A6">
      <w:pPr>
        <w:pStyle w:val="5"/>
        <w:pageBreakBefore w:val="0"/>
        <w:kinsoku/>
        <w:wordWrap/>
        <w:overflowPunct/>
        <w:autoSpaceDE/>
        <w:autoSpaceDN/>
        <w:bidi w:val="0"/>
        <w:spacing w:line="560" w:lineRule="exact"/>
        <w:ind w:firstLine="643"/>
        <w:rPr>
          <w:rStyle w:val="97"/>
          <w:rFonts w:cs="宋体"/>
          <w:b/>
          <w:bCs/>
          <w:color w:val="auto"/>
          <w:sz w:val="24"/>
          <w:szCs w:val="24"/>
          <w:highlight w:val="none"/>
        </w:rPr>
      </w:pPr>
    </w:p>
    <w:p w14:paraId="06F369F1">
      <w:pPr>
        <w:pStyle w:val="5"/>
        <w:pageBreakBefore w:val="0"/>
        <w:kinsoku/>
        <w:wordWrap/>
        <w:overflowPunct/>
        <w:autoSpaceDE/>
        <w:autoSpaceDN/>
        <w:bidi w:val="0"/>
        <w:spacing w:line="560" w:lineRule="exact"/>
        <w:ind w:firstLine="643"/>
        <w:rPr>
          <w:rStyle w:val="97"/>
          <w:rFonts w:cs="宋体"/>
          <w:b/>
          <w:bCs/>
          <w:color w:val="auto"/>
          <w:sz w:val="24"/>
          <w:szCs w:val="24"/>
          <w:highlight w:val="none"/>
        </w:rPr>
      </w:pPr>
    </w:p>
    <w:p w14:paraId="3BA50D2C">
      <w:pPr>
        <w:pStyle w:val="5"/>
        <w:pageBreakBefore w:val="0"/>
        <w:kinsoku/>
        <w:wordWrap/>
        <w:overflowPunct/>
        <w:autoSpaceDE/>
        <w:autoSpaceDN/>
        <w:bidi w:val="0"/>
        <w:spacing w:line="560" w:lineRule="exact"/>
        <w:ind w:firstLine="643"/>
        <w:rPr>
          <w:rStyle w:val="97"/>
          <w:rFonts w:cs="宋体"/>
          <w:b/>
          <w:bCs/>
          <w:color w:val="auto"/>
          <w:sz w:val="24"/>
          <w:szCs w:val="24"/>
          <w:highlight w:val="none"/>
        </w:rPr>
      </w:pPr>
    </w:p>
    <w:p w14:paraId="5FBA542A">
      <w:pPr>
        <w:pStyle w:val="5"/>
        <w:pageBreakBefore w:val="0"/>
        <w:kinsoku/>
        <w:wordWrap/>
        <w:overflowPunct/>
        <w:autoSpaceDE/>
        <w:autoSpaceDN/>
        <w:bidi w:val="0"/>
        <w:spacing w:line="560" w:lineRule="exact"/>
        <w:ind w:firstLine="643"/>
        <w:rPr>
          <w:rStyle w:val="97"/>
          <w:rFonts w:cs="宋体"/>
          <w:b/>
          <w:bCs/>
          <w:color w:val="auto"/>
          <w:sz w:val="24"/>
          <w:szCs w:val="24"/>
          <w:highlight w:val="none"/>
        </w:rPr>
      </w:pPr>
    </w:p>
    <w:p w14:paraId="53D5F2D9">
      <w:pPr>
        <w:pStyle w:val="64"/>
        <w:pageBreakBefore w:val="0"/>
        <w:kinsoku/>
        <w:wordWrap/>
        <w:overflowPunct/>
        <w:autoSpaceDE/>
        <w:autoSpaceDN/>
        <w:bidi w:val="0"/>
        <w:spacing w:after="0" w:line="560" w:lineRule="exact"/>
        <w:rPr>
          <w:rStyle w:val="97"/>
          <w:color w:val="auto"/>
          <w:sz w:val="24"/>
          <w:szCs w:val="24"/>
          <w:highlight w:val="none"/>
        </w:rPr>
      </w:pPr>
    </w:p>
    <w:p w14:paraId="0616180D">
      <w:pPr>
        <w:pageBreakBefore w:val="0"/>
        <w:kinsoku/>
        <w:wordWrap/>
        <w:overflowPunct/>
        <w:autoSpaceDE/>
        <w:autoSpaceDN/>
        <w:bidi w:val="0"/>
        <w:spacing w:after="0" w:line="560" w:lineRule="exact"/>
        <w:ind w:firstLine="602" w:firstLineChars="250"/>
        <w:rPr>
          <w:rStyle w:val="97"/>
          <w:rFonts w:cs="宋体"/>
          <w:b/>
          <w:bCs/>
          <w:color w:val="auto"/>
          <w:sz w:val="24"/>
          <w:szCs w:val="24"/>
          <w:highlight w:val="none"/>
        </w:rPr>
      </w:pPr>
      <w:r>
        <w:rPr>
          <w:rStyle w:val="97"/>
          <w:rFonts w:hint="eastAsia" w:cs="宋体"/>
          <w:b/>
          <w:bCs/>
          <w:color w:val="auto"/>
          <w:sz w:val="24"/>
          <w:szCs w:val="24"/>
          <w:highlight w:val="none"/>
        </w:rPr>
        <w:t>响应人（企业电子签章或盖章）：</w:t>
      </w:r>
    </w:p>
    <w:p w14:paraId="6D755C49">
      <w:pPr>
        <w:pageBreakBefore w:val="0"/>
        <w:kinsoku/>
        <w:wordWrap/>
        <w:overflowPunct/>
        <w:autoSpaceDE/>
        <w:autoSpaceDN/>
        <w:bidi w:val="0"/>
        <w:spacing w:after="0" w:line="560" w:lineRule="exact"/>
        <w:ind w:firstLine="602" w:firstLineChars="250"/>
        <w:rPr>
          <w:rStyle w:val="97"/>
          <w:rFonts w:cs="宋体"/>
          <w:b/>
          <w:bCs/>
          <w:color w:val="auto"/>
          <w:sz w:val="24"/>
          <w:szCs w:val="24"/>
          <w:highlight w:val="none"/>
        </w:rPr>
      </w:pPr>
      <w:r>
        <w:rPr>
          <w:rStyle w:val="97"/>
          <w:rFonts w:hint="eastAsia" w:cs="宋体"/>
          <w:b/>
          <w:bCs/>
          <w:color w:val="auto"/>
          <w:sz w:val="24"/>
          <w:szCs w:val="24"/>
          <w:highlight w:val="none"/>
        </w:rPr>
        <w:t>法定代表人（个人电子签章或盖章或签字）：</w:t>
      </w:r>
    </w:p>
    <w:p w14:paraId="6A7D23F9">
      <w:pPr>
        <w:pageBreakBefore w:val="0"/>
        <w:kinsoku/>
        <w:wordWrap/>
        <w:overflowPunct/>
        <w:autoSpaceDE/>
        <w:autoSpaceDN/>
        <w:bidi w:val="0"/>
        <w:spacing w:after="0" w:line="560" w:lineRule="exact"/>
        <w:jc w:val="center"/>
        <w:rPr>
          <w:rStyle w:val="97"/>
          <w:rFonts w:cs="宋体"/>
          <w:b/>
          <w:bCs/>
          <w:color w:val="auto"/>
          <w:sz w:val="24"/>
          <w:szCs w:val="24"/>
          <w:highlight w:val="none"/>
        </w:rPr>
      </w:pPr>
    </w:p>
    <w:p w14:paraId="0158EC51">
      <w:pPr>
        <w:pageBreakBefore w:val="0"/>
        <w:kinsoku/>
        <w:wordWrap/>
        <w:overflowPunct/>
        <w:autoSpaceDE/>
        <w:autoSpaceDN/>
        <w:bidi w:val="0"/>
        <w:spacing w:after="0" w:line="560" w:lineRule="exact"/>
        <w:jc w:val="center"/>
        <w:rPr>
          <w:rStyle w:val="97"/>
          <w:rFonts w:cs="宋体"/>
          <w:b/>
          <w:bCs/>
          <w:color w:val="auto"/>
          <w:sz w:val="24"/>
          <w:szCs w:val="24"/>
          <w:highlight w:val="none"/>
        </w:rPr>
      </w:pPr>
      <w:r>
        <w:rPr>
          <w:rStyle w:val="97"/>
          <w:rFonts w:hint="eastAsia" w:cs="宋体"/>
          <w:b/>
          <w:bCs/>
          <w:color w:val="auto"/>
          <w:sz w:val="24"/>
          <w:szCs w:val="24"/>
          <w:highlight w:val="none"/>
        </w:rPr>
        <w:t>年  月  日</w:t>
      </w:r>
    </w:p>
    <w:p w14:paraId="3E81D61B">
      <w:pPr>
        <w:pageBreakBefore w:val="0"/>
        <w:kinsoku/>
        <w:wordWrap/>
        <w:overflowPunct/>
        <w:autoSpaceDE/>
        <w:autoSpaceDN/>
        <w:bidi w:val="0"/>
        <w:spacing w:after="0" w:line="560" w:lineRule="exact"/>
        <w:ind w:firstLine="482" w:firstLineChars="200"/>
        <w:jc w:val="center"/>
        <w:rPr>
          <w:rStyle w:val="97"/>
          <w:rFonts w:cs="宋体"/>
          <w:b/>
          <w:bCs/>
          <w:color w:val="auto"/>
          <w:sz w:val="24"/>
          <w:szCs w:val="24"/>
          <w:highlight w:val="none"/>
        </w:rPr>
      </w:pPr>
      <w:r>
        <w:rPr>
          <w:rStyle w:val="97"/>
          <w:rFonts w:cs="宋体"/>
          <w:b/>
          <w:bCs/>
          <w:color w:val="auto"/>
          <w:sz w:val="24"/>
          <w:szCs w:val="24"/>
          <w:highlight w:val="none"/>
        </w:rPr>
        <w:br w:type="page"/>
      </w:r>
    </w:p>
    <w:p w14:paraId="4638A10E">
      <w:pPr>
        <w:pageBreakBefore w:val="0"/>
        <w:kinsoku/>
        <w:wordWrap/>
        <w:overflowPunct/>
        <w:autoSpaceDE/>
        <w:autoSpaceDN/>
        <w:bidi w:val="0"/>
        <w:spacing w:after="0" w:line="560" w:lineRule="exact"/>
        <w:ind w:firstLine="482" w:firstLineChars="200"/>
        <w:jc w:val="center"/>
        <w:rPr>
          <w:rStyle w:val="97"/>
          <w:rFonts w:cs="宋体"/>
          <w:b/>
          <w:bCs/>
          <w:color w:val="auto"/>
          <w:sz w:val="24"/>
          <w:szCs w:val="24"/>
          <w:highlight w:val="none"/>
        </w:rPr>
      </w:pPr>
      <w:r>
        <w:rPr>
          <w:rStyle w:val="97"/>
          <w:rFonts w:hint="eastAsia" w:cs="宋体"/>
          <w:b/>
          <w:bCs/>
          <w:color w:val="auto"/>
          <w:sz w:val="24"/>
          <w:szCs w:val="24"/>
          <w:highlight w:val="none"/>
        </w:rPr>
        <w:t>目  录</w:t>
      </w:r>
    </w:p>
    <w:p w14:paraId="6F2E3DE4">
      <w:pPr>
        <w:keepNext w:val="0"/>
        <w:keepLines w:val="0"/>
        <w:pageBreakBefore w:val="0"/>
        <w:kinsoku/>
        <w:wordWrap/>
        <w:overflowPunct/>
        <w:topLinePunct w:val="0"/>
        <w:autoSpaceDE/>
        <w:autoSpaceDN/>
        <w:bidi w:val="0"/>
        <w:snapToGrid/>
        <w:spacing w:after="0" w:line="500" w:lineRule="exact"/>
        <w:ind w:firstLine="480" w:firstLineChars="20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一、磋商函</w:t>
      </w:r>
    </w:p>
    <w:p w14:paraId="10D962C7">
      <w:pPr>
        <w:pStyle w:val="116"/>
        <w:keepNext w:val="0"/>
        <w:keepLines w:val="0"/>
        <w:pageBreakBefore w:val="0"/>
        <w:kinsoku/>
        <w:wordWrap/>
        <w:overflowPunct/>
        <w:topLinePunct w:val="0"/>
        <w:bidi w:val="0"/>
        <w:snapToGrid/>
        <w:spacing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二、磋商函附录</w:t>
      </w:r>
    </w:p>
    <w:p w14:paraId="70B543E8">
      <w:pPr>
        <w:keepNext w:val="0"/>
        <w:keepLines w:val="0"/>
        <w:pageBreakBefore w:val="0"/>
        <w:kinsoku/>
        <w:wordWrap/>
        <w:overflowPunct/>
        <w:topLinePunct w:val="0"/>
        <w:bidi w:val="0"/>
        <w:snapToGrid/>
        <w:spacing w:after="0"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三、法定代表人身份证明</w:t>
      </w:r>
    </w:p>
    <w:p w14:paraId="01C2F700">
      <w:pPr>
        <w:pStyle w:val="116"/>
        <w:keepNext w:val="0"/>
        <w:keepLines w:val="0"/>
        <w:pageBreakBefore w:val="0"/>
        <w:kinsoku/>
        <w:wordWrap/>
        <w:overflowPunct/>
        <w:topLinePunct w:val="0"/>
        <w:bidi w:val="0"/>
        <w:snapToGrid/>
        <w:spacing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四、授权委托书</w:t>
      </w:r>
    </w:p>
    <w:p w14:paraId="7B34501E">
      <w:pPr>
        <w:keepNext w:val="0"/>
        <w:keepLines w:val="0"/>
        <w:pageBreakBefore w:val="0"/>
        <w:kinsoku/>
        <w:wordWrap/>
        <w:overflowPunct/>
        <w:topLinePunct w:val="0"/>
        <w:bidi w:val="0"/>
        <w:snapToGrid/>
        <w:spacing w:after="0"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五、资格证明文件</w:t>
      </w:r>
    </w:p>
    <w:p w14:paraId="584DD548">
      <w:pPr>
        <w:pStyle w:val="116"/>
        <w:keepNext w:val="0"/>
        <w:keepLines w:val="0"/>
        <w:pageBreakBefore w:val="0"/>
        <w:kinsoku/>
        <w:wordWrap/>
        <w:overflowPunct/>
        <w:topLinePunct w:val="0"/>
        <w:bidi w:val="0"/>
        <w:snapToGrid/>
        <w:spacing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六、项目管理机构</w:t>
      </w:r>
    </w:p>
    <w:p w14:paraId="03D2D056">
      <w:pPr>
        <w:keepNext w:val="0"/>
        <w:keepLines w:val="0"/>
        <w:pageBreakBefore w:val="0"/>
        <w:kinsoku/>
        <w:wordWrap/>
        <w:overflowPunct/>
        <w:topLinePunct w:val="0"/>
        <w:bidi w:val="0"/>
        <w:snapToGrid/>
        <w:spacing w:after="0"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七、类似项目业绩</w:t>
      </w:r>
    </w:p>
    <w:p w14:paraId="27A677F7">
      <w:pPr>
        <w:pStyle w:val="116"/>
        <w:keepNext w:val="0"/>
        <w:keepLines w:val="0"/>
        <w:pageBreakBefore w:val="0"/>
        <w:kinsoku/>
        <w:wordWrap/>
        <w:overflowPunct/>
        <w:topLinePunct w:val="0"/>
        <w:bidi w:val="0"/>
        <w:snapToGrid/>
        <w:spacing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八、技术部分</w:t>
      </w:r>
    </w:p>
    <w:p w14:paraId="5B22B94A">
      <w:pPr>
        <w:keepNext w:val="0"/>
        <w:keepLines w:val="0"/>
        <w:pageBreakBefore w:val="0"/>
        <w:kinsoku/>
        <w:wordWrap/>
        <w:overflowPunct/>
        <w:topLinePunct w:val="0"/>
        <w:bidi w:val="0"/>
        <w:snapToGrid/>
        <w:spacing w:after="0"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九、服务承诺及合理化建议</w:t>
      </w:r>
    </w:p>
    <w:p w14:paraId="3B426BBF">
      <w:pPr>
        <w:pStyle w:val="116"/>
        <w:keepNext w:val="0"/>
        <w:keepLines w:val="0"/>
        <w:pageBreakBefore w:val="0"/>
        <w:kinsoku/>
        <w:wordWrap/>
        <w:overflowPunct/>
        <w:topLinePunct w:val="0"/>
        <w:bidi w:val="0"/>
        <w:snapToGrid/>
        <w:spacing w:line="500" w:lineRule="exact"/>
        <w:ind w:firstLine="480" w:firstLineChars="200"/>
        <w:rPr>
          <w:rFonts w:hint="eastAsia"/>
          <w:b w:val="0"/>
          <w:bCs w:val="0"/>
          <w:sz w:val="24"/>
          <w:szCs w:val="24"/>
          <w:lang w:val="en-US" w:eastAsia="zh-CN"/>
        </w:rPr>
      </w:pPr>
      <w:r>
        <w:rPr>
          <w:rFonts w:hint="eastAsia"/>
          <w:b w:val="0"/>
          <w:bCs w:val="0"/>
          <w:sz w:val="24"/>
          <w:szCs w:val="24"/>
          <w:lang w:val="en-US" w:eastAsia="zh-CN"/>
        </w:rPr>
        <w:t>十、中小企业声明函（服务）</w:t>
      </w:r>
    </w:p>
    <w:p w14:paraId="3C1BD810">
      <w:pPr>
        <w:keepNext w:val="0"/>
        <w:keepLines w:val="0"/>
        <w:pageBreakBefore w:val="0"/>
        <w:kinsoku/>
        <w:wordWrap/>
        <w:overflowPunct/>
        <w:topLinePunct w:val="0"/>
        <w:bidi w:val="0"/>
        <w:snapToGrid/>
        <w:spacing w:after="0" w:line="500" w:lineRule="exact"/>
        <w:ind w:firstLine="480" w:firstLineChars="200"/>
        <w:rPr>
          <w:rFonts w:hint="default"/>
          <w:b w:val="0"/>
          <w:bCs w:val="0"/>
          <w:sz w:val="24"/>
          <w:szCs w:val="24"/>
          <w:lang w:val="en-US" w:eastAsia="zh-CN"/>
        </w:rPr>
      </w:pPr>
      <w:r>
        <w:rPr>
          <w:rFonts w:hint="eastAsia"/>
          <w:b w:val="0"/>
          <w:bCs w:val="0"/>
          <w:sz w:val="24"/>
          <w:szCs w:val="24"/>
          <w:lang w:val="en-US" w:eastAsia="zh-CN"/>
        </w:rPr>
        <w:t>十一、供应商认为有必要提供的其他资料</w:t>
      </w:r>
    </w:p>
    <w:p w14:paraId="679A238F">
      <w:pPr>
        <w:keepNext w:val="0"/>
        <w:keepLines w:val="0"/>
        <w:pageBreakBefore w:val="0"/>
        <w:kinsoku/>
        <w:wordWrap/>
        <w:overflowPunct/>
        <w:topLinePunct w:val="0"/>
        <w:autoSpaceDE/>
        <w:autoSpaceDN/>
        <w:bidi w:val="0"/>
        <w:snapToGrid/>
        <w:spacing w:after="0" w:line="500" w:lineRule="exact"/>
        <w:ind w:firstLine="480" w:firstLineChars="200"/>
        <w:rPr>
          <w:rFonts w:hint="eastAsia" w:cs="宋体"/>
          <w:b w:val="0"/>
          <w:bCs w:val="0"/>
          <w:color w:val="auto"/>
          <w:sz w:val="24"/>
          <w:szCs w:val="24"/>
          <w:highlight w:val="none"/>
        </w:rPr>
      </w:pPr>
    </w:p>
    <w:p w14:paraId="4F96477D">
      <w:pPr>
        <w:pStyle w:val="120"/>
        <w:jc w:val="center"/>
        <w:rPr>
          <w:rFonts w:hint="eastAsia" w:ascii="宋体" w:hAnsi="宋体" w:cs="宋体"/>
          <w:b/>
          <w:bCs/>
          <w:color w:val="auto"/>
        </w:rPr>
      </w:pPr>
      <w:r>
        <w:rPr>
          <w:rFonts w:hint="eastAsia" w:ascii="宋体" w:hAnsi="宋体" w:cs="宋体"/>
          <w:b/>
          <w:bCs/>
          <w:color w:val="auto"/>
        </w:rPr>
        <w:t>（页码自行编写）</w:t>
      </w:r>
    </w:p>
    <w:p w14:paraId="3E6D872F">
      <w:pPr>
        <w:pageBreakBefore w:val="0"/>
        <w:kinsoku/>
        <w:wordWrap/>
        <w:overflowPunct/>
        <w:autoSpaceDE/>
        <w:autoSpaceDN/>
        <w:bidi w:val="0"/>
        <w:spacing w:after="0" w:line="560" w:lineRule="exact"/>
        <w:ind w:firstLine="480" w:firstLineChars="200"/>
        <w:rPr>
          <w:rStyle w:val="97"/>
          <w:color w:val="auto"/>
          <w:sz w:val="24"/>
          <w:szCs w:val="24"/>
          <w:highlight w:val="none"/>
        </w:rPr>
      </w:pPr>
      <w:r>
        <w:rPr>
          <w:rStyle w:val="97"/>
          <w:color w:val="auto"/>
          <w:sz w:val="24"/>
          <w:szCs w:val="24"/>
          <w:highlight w:val="none"/>
        </w:rPr>
        <w:br w:type="page"/>
      </w:r>
    </w:p>
    <w:p w14:paraId="5773189E">
      <w:pPr>
        <w:keepNext w:val="0"/>
        <w:keepLines w:val="0"/>
        <w:pageBreakBefore w:val="0"/>
        <w:kinsoku/>
        <w:wordWrap/>
        <w:overflowPunct/>
        <w:topLinePunct w:val="0"/>
        <w:autoSpaceDE/>
        <w:autoSpaceDN/>
        <w:bidi w:val="0"/>
        <w:adjustRightInd/>
        <w:snapToGrid/>
        <w:spacing w:after="0" w:line="500" w:lineRule="exact"/>
        <w:jc w:val="center"/>
        <w:outlineLvl w:val="1"/>
        <w:rPr>
          <w:rStyle w:val="97"/>
          <w:rFonts w:hint="eastAsia" w:eastAsia="宋体"/>
          <w:b/>
          <w:color w:val="auto"/>
          <w:kern w:val="0"/>
          <w:sz w:val="24"/>
          <w:szCs w:val="24"/>
          <w:highlight w:val="none"/>
          <w:lang w:eastAsia="zh-CN"/>
        </w:rPr>
      </w:pPr>
      <w:bookmarkStart w:id="84" w:name="_Toc19554"/>
      <w:r>
        <w:rPr>
          <w:rStyle w:val="97"/>
          <w:rFonts w:hint="eastAsia"/>
          <w:b/>
          <w:color w:val="auto"/>
          <w:kern w:val="0"/>
          <w:sz w:val="24"/>
          <w:szCs w:val="24"/>
          <w:highlight w:val="none"/>
          <w:lang w:val="en-US" w:eastAsia="zh-CN"/>
        </w:rPr>
        <w:t>一</w:t>
      </w:r>
      <w:r>
        <w:rPr>
          <w:rStyle w:val="97"/>
          <w:rFonts w:hint="eastAsia"/>
          <w:b/>
          <w:color w:val="auto"/>
          <w:kern w:val="0"/>
          <w:sz w:val="24"/>
          <w:szCs w:val="24"/>
          <w:highlight w:val="none"/>
        </w:rPr>
        <w:t>、</w:t>
      </w:r>
      <w:r>
        <w:rPr>
          <w:rStyle w:val="97"/>
          <w:rFonts w:hint="eastAsia"/>
          <w:b/>
          <w:color w:val="auto"/>
          <w:kern w:val="0"/>
          <w:sz w:val="24"/>
          <w:szCs w:val="24"/>
          <w:highlight w:val="none"/>
          <w:lang w:val="en-US" w:eastAsia="zh-CN"/>
        </w:rPr>
        <w:t>磋商函</w:t>
      </w:r>
      <w:bookmarkEnd w:id="84"/>
    </w:p>
    <w:p w14:paraId="204402D5">
      <w:pPr>
        <w:keepNext w:val="0"/>
        <w:keepLines w:val="0"/>
        <w:pageBreakBefore w:val="0"/>
        <w:kinsoku/>
        <w:wordWrap/>
        <w:overflowPunct/>
        <w:topLinePunct w:val="0"/>
        <w:autoSpaceDE/>
        <w:autoSpaceDN/>
        <w:bidi w:val="0"/>
        <w:adjustRightInd/>
        <w:snapToGrid/>
        <w:spacing w:after="0" w:line="500" w:lineRule="exact"/>
        <w:jc w:val="left"/>
        <w:rPr>
          <w:rStyle w:val="97"/>
          <w:color w:val="auto"/>
          <w:sz w:val="24"/>
          <w:szCs w:val="24"/>
          <w:highlight w:val="none"/>
          <w:u w:val="single"/>
        </w:rPr>
      </w:pPr>
      <w:r>
        <w:rPr>
          <w:rStyle w:val="97"/>
          <w:rFonts w:hint="eastAsia"/>
          <w:color w:val="auto"/>
          <w:sz w:val="24"/>
          <w:szCs w:val="24"/>
          <w:highlight w:val="none"/>
        </w:rPr>
        <w:t>致：</w:t>
      </w:r>
      <w:r>
        <w:rPr>
          <w:rStyle w:val="97"/>
          <w:color w:val="auto"/>
          <w:sz w:val="24"/>
          <w:szCs w:val="24"/>
          <w:highlight w:val="none"/>
          <w:u w:val="single"/>
        </w:rPr>
        <w:t>(</w:t>
      </w:r>
      <w:r>
        <w:rPr>
          <w:rStyle w:val="97"/>
          <w:rFonts w:hint="eastAsia"/>
          <w:color w:val="auto"/>
          <w:sz w:val="24"/>
          <w:szCs w:val="24"/>
          <w:highlight w:val="none"/>
          <w:u w:val="single"/>
        </w:rPr>
        <w:t>采购人名称）</w:t>
      </w:r>
    </w:p>
    <w:p w14:paraId="73E357CA">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根据贵方的</w:t>
      </w:r>
      <w:r>
        <w:rPr>
          <w:rFonts w:hint="eastAsia" w:ascii="宋体" w:hAnsi="宋体" w:cs="宋体"/>
          <w:color w:val="auto"/>
          <w:sz w:val="24"/>
          <w:szCs w:val="24"/>
          <w:u w:val="single"/>
        </w:rPr>
        <w:t xml:space="preserve">       </w:t>
      </w:r>
      <w:r>
        <w:rPr>
          <w:rFonts w:hint="eastAsia" w:ascii="宋体" w:hAnsi="宋体" w:cs="宋体"/>
          <w:color w:val="auto"/>
          <w:sz w:val="24"/>
          <w:szCs w:val="24"/>
        </w:rPr>
        <w:t>项目</w:t>
      </w:r>
      <w:r>
        <w:rPr>
          <w:rFonts w:hint="eastAsia" w:cs="宋体"/>
          <w:color w:val="auto"/>
          <w:sz w:val="24"/>
          <w:szCs w:val="24"/>
          <w:highlight w:val="yellow"/>
          <w:lang w:val="en-US" w:eastAsia="zh-CN"/>
        </w:rPr>
        <w:t>竞争性磋商文件</w:t>
      </w:r>
      <w:r>
        <w:rPr>
          <w:rFonts w:hint="eastAsia" w:ascii="宋体" w:hAnsi="宋体" w:cs="宋体"/>
          <w:color w:val="auto"/>
          <w:sz w:val="24"/>
          <w:szCs w:val="24"/>
        </w:rPr>
        <w:t>【</w:t>
      </w:r>
      <w:r>
        <w:rPr>
          <w:rFonts w:hint="eastAsia" w:ascii="宋体" w:hAnsi="宋体" w:cs="宋体"/>
          <w:color w:val="auto"/>
          <w:sz w:val="24"/>
          <w:szCs w:val="24"/>
          <w:highlight w:val="none"/>
        </w:rPr>
        <w:t>采购编号</w:t>
      </w:r>
      <w:r>
        <w:rPr>
          <w:rFonts w:hint="eastAsia" w:ascii="宋体" w:hAnsi="宋体" w:cs="宋体"/>
          <w:color w:val="auto"/>
          <w:sz w:val="24"/>
          <w:szCs w:val="24"/>
        </w:rPr>
        <w:t>：</w:t>
      </w:r>
      <w:r>
        <w:rPr>
          <w:rFonts w:hint="eastAsia" w:cs="宋体"/>
          <w:color w:val="auto"/>
          <w:sz w:val="24"/>
          <w:szCs w:val="24"/>
          <w:u w:val="single"/>
          <w:lang w:val="en-US" w:eastAsia="zh-CN"/>
        </w:rPr>
        <w:t xml:space="preserve">        </w:t>
      </w:r>
      <w:r>
        <w:rPr>
          <w:rFonts w:hint="eastAsia" w:ascii="宋体" w:hAnsi="宋体" w:cs="宋体"/>
          <w:color w:val="auto"/>
          <w:sz w:val="24"/>
          <w:szCs w:val="24"/>
        </w:rPr>
        <w:t>，签字代表</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（全名、职务）</w:t>
      </w:r>
      <w:r>
        <w:rPr>
          <w:rFonts w:hint="eastAsia" w:ascii="宋体" w:hAnsi="宋体" w:cs="宋体"/>
          <w:color w:val="auto"/>
          <w:sz w:val="24"/>
          <w:szCs w:val="24"/>
        </w:rPr>
        <w:t>经正式授权并代表</w:t>
      </w:r>
      <w:r>
        <w:rPr>
          <w:rFonts w:hint="eastAsia" w:cs="宋体"/>
          <w:color w:val="auto"/>
          <w:sz w:val="24"/>
          <w:szCs w:val="24"/>
          <w:lang w:val="en-US" w:eastAsia="zh-CN"/>
        </w:rPr>
        <w:t>供应商</w:t>
      </w:r>
      <w:r>
        <w:rPr>
          <w:rFonts w:hint="eastAsia" w:ascii="宋体" w:hAnsi="宋体" w:cs="宋体"/>
          <w:color w:val="auto"/>
          <w:sz w:val="24"/>
          <w:szCs w:val="24"/>
          <w:u w:val="single"/>
        </w:rPr>
        <w:t>（</w:t>
      </w:r>
      <w:r>
        <w:rPr>
          <w:rFonts w:hint="eastAsia" w:cs="宋体"/>
          <w:color w:val="auto"/>
          <w:sz w:val="24"/>
          <w:szCs w:val="24"/>
          <w:u w:val="single"/>
          <w:lang w:val="en-US" w:eastAsia="zh-CN"/>
        </w:rPr>
        <w:t>供应商</w:t>
      </w:r>
      <w:r>
        <w:rPr>
          <w:rFonts w:hint="eastAsia" w:ascii="宋体" w:hAnsi="宋体" w:cs="宋体"/>
          <w:color w:val="auto"/>
          <w:sz w:val="24"/>
          <w:szCs w:val="24"/>
          <w:u w:val="single"/>
        </w:rPr>
        <w:t xml:space="preserve">名称、地址）  </w:t>
      </w:r>
      <w:r>
        <w:rPr>
          <w:rFonts w:hint="eastAsia" w:ascii="宋体" w:hAnsi="宋体" w:cs="宋体"/>
          <w:color w:val="auto"/>
          <w:sz w:val="24"/>
          <w:szCs w:val="24"/>
        </w:rPr>
        <w:t>提交下述文件，并对此负法律责任。</w:t>
      </w:r>
    </w:p>
    <w:p w14:paraId="5FC9DD29">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rPr>
        <w:t>根据此函，签字代表宣布同意如下：</w:t>
      </w:r>
    </w:p>
    <w:p w14:paraId="24740FDF">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ascii="宋体" w:hAnsi="宋体" w:cs="宋体"/>
          <w:color w:val="auto"/>
          <w:sz w:val="24"/>
          <w:szCs w:val="24"/>
          <w:u w:val="single"/>
        </w:rPr>
      </w:pPr>
      <w:r>
        <w:rPr>
          <w:rFonts w:hint="eastAsia" w:ascii="宋体" w:hAnsi="宋体" w:cs="宋体"/>
          <w:color w:val="auto"/>
          <w:sz w:val="24"/>
          <w:szCs w:val="24"/>
          <w:lang w:val="en-US" w:eastAsia="zh-CN"/>
        </w:rPr>
        <w:t>1、针对该项目，我方愿意以单价（大写）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w:t>
      </w:r>
      <w:r>
        <w:rPr>
          <w:rFonts w:hint="eastAsia" w:ascii="宋体" w:hAnsi="宋体" w:cs="宋体"/>
          <w:color w:val="auto"/>
          <w:sz w:val="24"/>
          <w:szCs w:val="24"/>
          <w:u w:val="single"/>
          <w:lang w:val="en-US" w:eastAsia="zh-CN"/>
        </w:rPr>
        <w:t xml:space="preserve">        元/卷</w:t>
      </w:r>
      <w:r>
        <w:rPr>
          <w:rFonts w:hint="eastAsia" w:ascii="宋体" w:hAnsi="宋体" w:cs="宋体"/>
          <w:color w:val="auto"/>
          <w:sz w:val="24"/>
          <w:szCs w:val="24"/>
          <w:lang w:val="en-US" w:eastAsia="zh-CN"/>
        </w:rPr>
        <w:t>）的投标报价，按</w:t>
      </w:r>
      <w:r>
        <w:rPr>
          <w:rFonts w:hint="eastAsia" w:cs="宋体"/>
          <w:color w:val="auto"/>
          <w:sz w:val="24"/>
          <w:szCs w:val="24"/>
          <w:lang w:val="en-US" w:eastAsia="zh-CN"/>
        </w:rPr>
        <w:t>竞争性磋商</w:t>
      </w:r>
      <w:r>
        <w:rPr>
          <w:rFonts w:hint="eastAsia" w:ascii="宋体" w:hAnsi="宋体" w:cs="宋体"/>
          <w:color w:val="auto"/>
          <w:sz w:val="24"/>
          <w:szCs w:val="24"/>
          <w:lang w:val="en-US" w:eastAsia="zh-CN"/>
        </w:rPr>
        <w:t>文件要求提供服务</w:t>
      </w:r>
      <w:r>
        <w:rPr>
          <w:rFonts w:hint="eastAsia" w:ascii="宋体" w:hAnsi="宋体" w:cs="宋体"/>
          <w:color w:val="auto"/>
          <w:sz w:val="24"/>
          <w:szCs w:val="24"/>
          <w:u w:val="none"/>
          <w:lang w:eastAsia="zh-CN"/>
        </w:rPr>
        <w:t>；服务期限</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，服务质量：</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，服务地点为：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FDCD4DB">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2、如果我们的</w:t>
      </w:r>
      <w:r>
        <w:rPr>
          <w:rFonts w:hint="eastAsia" w:cs="宋体"/>
          <w:color w:val="auto"/>
          <w:sz w:val="24"/>
          <w:szCs w:val="24"/>
          <w:lang w:val="en-US" w:eastAsia="zh-CN"/>
        </w:rPr>
        <w:t>响应</w:t>
      </w:r>
      <w:r>
        <w:rPr>
          <w:rFonts w:hint="eastAsia" w:ascii="宋体" w:hAnsi="宋体" w:eastAsia="宋体" w:cs="宋体"/>
          <w:color w:val="auto"/>
          <w:sz w:val="24"/>
          <w:szCs w:val="24"/>
          <w:lang w:val="en-US" w:eastAsia="zh-CN"/>
        </w:rPr>
        <w:t>文件被接受，我们将按《中华人民共和国民法典》和</w:t>
      </w:r>
      <w:r>
        <w:rPr>
          <w:rFonts w:hint="eastAsia" w:cs="宋体"/>
          <w:color w:val="auto"/>
          <w:sz w:val="24"/>
          <w:szCs w:val="24"/>
          <w:lang w:val="en-US" w:eastAsia="zh-CN"/>
        </w:rPr>
        <w:t>竞争性磋商</w:t>
      </w:r>
      <w:r>
        <w:rPr>
          <w:rFonts w:hint="eastAsia" w:ascii="宋体" w:hAnsi="宋体" w:eastAsia="宋体" w:cs="宋体"/>
          <w:color w:val="auto"/>
          <w:sz w:val="24"/>
          <w:szCs w:val="24"/>
          <w:lang w:val="en-US" w:eastAsia="zh-CN"/>
        </w:rPr>
        <w:t>文件的规定签订并严格履行合同中的责任和义务。</w:t>
      </w:r>
    </w:p>
    <w:p w14:paraId="4D5A3EA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cs="宋体"/>
          <w:color w:val="auto"/>
          <w:sz w:val="24"/>
          <w:szCs w:val="24"/>
          <w:highlight w:val="none"/>
        </w:rPr>
        <w:t>、我们详细审查了</w:t>
      </w:r>
      <w:r>
        <w:rPr>
          <w:rFonts w:hint="eastAsia" w:cs="宋体"/>
          <w:color w:val="auto"/>
          <w:sz w:val="24"/>
          <w:szCs w:val="24"/>
          <w:highlight w:val="none"/>
          <w:lang w:val="en-US" w:eastAsia="zh-CN"/>
        </w:rPr>
        <w:t>竞争性磋商文件</w:t>
      </w:r>
      <w:r>
        <w:rPr>
          <w:rFonts w:hint="eastAsia" w:ascii="宋体" w:hAnsi="宋体" w:cs="宋体"/>
          <w:color w:val="auto"/>
          <w:sz w:val="24"/>
          <w:szCs w:val="24"/>
          <w:highlight w:val="none"/>
        </w:rPr>
        <w:t>，包括修改文件以及全部参考资料和有关附件，我们</w:t>
      </w:r>
      <w:r>
        <w:rPr>
          <w:rFonts w:hint="eastAsia" w:ascii="宋体" w:hAnsi="宋体" w:eastAsia="宋体" w:cs="宋体"/>
          <w:color w:val="auto"/>
          <w:sz w:val="24"/>
          <w:szCs w:val="24"/>
          <w:highlight w:val="none"/>
        </w:rPr>
        <w:t>完全理解并同意放弃对这方面有不明及误解的权力。</w:t>
      </w:r>
    </w:p>
    <w:p w14:paraId="5E949C5F">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highlight w:val="none"/>
        </w:rPr>
      </w:pPr>
      <w:bookmarkStart w:id="85" w:name="_Toc17041"/>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有效期为</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日历天（从投标截止之日算起）。</w:t>
      </w:r>
      <w:bookmarkEnd w:id="85"/>
    </w:p>
    <w:p w14:paraId="658D650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、我们同意提供贵方可能要求的与投标有</w:t>
      </w:r>
      <w:r>
        <w:rPr>
          <w:rFonts w:hint="eastAsia" w:ascii="宋体" w:hAnsi="宋体" w:eastAsia="宋体" w:cs="宋体"/>
          <w:color w:val="auto"/>
          <w:sz w:val="24"/>
          <w:szCs w:val="24"/>
        </w:rPr>
        <w:t>关的一切数据或资料，完全理解贵方不一定接受最低价的投标或收到的任何投标。</w:t>
      </w:r>
    </w:p>
    <w:p w14:paraId="46D8C3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86" w:name="_Toc18427"/>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与本投标有关的一切正式往来请寄：</w:t>
      </w:r>
      <w:bookmarkEnd w:id="86"/>
    </w:p>
    <w:p w14:paraId="58CB43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p>
    <w:p w14:paraId="7A69826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地址：          邮政编码：          </w:t>
      </w:r>
    </w:p>
    <w:p w14:paraId="4442FDA6">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          传真：</w:t>
      </w:r>
    </w:p>
    <w:p w14:paraId="73245129">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法定代表人或其授权委托人姓名、职务：</w:t>
      </w:r>
    </w:p>
    <w:p w14:paraId="2AF1BB00">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eastAsia="zh-CN"/>
        </w:rPr>
      </w:pPr>
    </w:p>
    <w:p w14:paraId="085D1FD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供应商名称</w:t>
      </w:r>
      <w:r>
        <w:rPr>
          <w:rFonts w:hint="eastAsia" w:ascii="宋体" w:hAnsi="宋体" w:eastAsia="宋体" w:cs="宋体"/>
          <w:color w:val="auto"/>
          <w:sz w:val="24"/>
          <w:szCs w:val="24"/>
          <w:lang w:eastAsia="zh-CN"/>
        </w:rPr>
        <w:t>：（盖章）</w:t>
      </w:r>
    </w:p>
    <w:p w14:paraId="581F002E">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法定代表人或其授权委托人：（签字或盖章）</w:t>
      </w:r>
    </w:p>
    <w:p w14:paraId="59F1E8F1">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日期：   年  月  日</w:t>
      </w:r>
    </w:p>
    <w:p w14:paraId="38627EB8">
      <w:pPr>
        <w:keepNext w:val="0"/>
        <w:keepLines w:val="0"/>
        <w:pageBreakBefore w:val="0"/>
        <w:kinsoku/>
        <w:wordWrap/>
        <w:overflowPunct/>
        <w:topLinePunct w:val="0"/>
        <w:autoSpaceDE/>
        <w:autoSpaceDN/>
        <w:bidi w:val="0"/>
        <w:adjustRightInd/>
        <w:snapToGrid/>
        <w:spacing w:line="500" w:lineRule="exact"/>
        <w:rPr>
          <w:rStyle w:val="97"/>
          <w:rFonts w:hint="eastAsia"/>
          <w:b/>
          <w:color w:val="auto"/>
          <w:kern w:val="0"/>
          <w:sz w:val="24"/>
          <w:szCs w:val="24"/>
          <w:highlight w:val="none"/>
        </w:rPr>
      </w:pPr>
    </w:p>
    <w:p w14:paraId="20DD06F6">
      <w:pPr>
        <w:rPr>
          <w:rStyle w:val="97"/>
          <w:rFonts w:hint="eastAsia"/>
          <w:b/>
          <w:color w:val="auto"/>
          <w:kern w:val="0"/>
          <w:sz w:val="24"/>
          <w:szCs w:val="24"/>
          <w:highlight w:val="none"/>
        </w:rPr>
      </w:pPr>
      <w:r>
        <w:rPr>
          <w:rStyle w:val="97"/>
          <w:rFonts w:hint="eastAsia"/>
          <w:b/>
          <w:color w:val="auto"/>
          <w:kern w:val="0"/>
          <w:sz w:val="24"/>
          <w:szCs w:val="24"/>
          <w:highlight w:val="none"/>
        </w:rPr>
        <w:br w:type="page"/>
      </w:r>
    </w:p>
    <w:p w14:paraId="0CA585FD">
      <w:pPr>
        <w:pageBreakBefore w:val="0"/>
        <w:kinsoku/>
        <w:wordWrap/>
        <w:overflowPunct/>
        <w:autoSpaceDE/>
        <w:autoSpaceDN/>
        <w:bidi w:val="0"/>
        <w:spacing w:after="0" w:line="560" w:lineRule="exact"/>
        <w:jc w:val="center"/>
        <w:outlineLvl w:val="1"/>
        <w:rPr>
          <w:rStyle w:val="97"/>
          <w:rFonts w:hint="default" w:eastAsia="宋体"/>
          <w:b/>
          <w:color w:val="auto"/>
          <w:kern w:val="0"/>
          <w:sz w:val="24"/>
          <w:szCs w:val="24"/>
          <w:highlight w:val="none"/>
          <w:lang w:val="en-US" w:eastAsia="zh-CN"/>
        </w:rPr>
      </w:pPr>
      <w:bookmarkStart w:id="87" w:name="_Toc29273"/>
      <w:r>
        <w:rPr>
          <w:rStyle w:val="97"/>
          <w:rFonts w:hint="eastAsia"/>
          <w:b/>
          <w:color w:val="auto"/>
          <w:kern w:val="0"/>
          <w:sz w:val="24"/>
          <w:szCs w:val="24"/>
          <w:highlight w:val="none"/>
          <w:lang w:val="en-US" w:eastAsia="zh-CN"/>
        </w:rPr>
        <w:t>二</w:t>
      </w:r>
      <w:r>
        <w:rPr>
          <w:rStyle w:val="97"/>
          <w:rFonts w:hint="eastAsia"/>
          <w:b/>
          <w:color w:val="auto"/>
          <w:kern w:val="0"/>
          <w:sz w:val="24"/>
          <w:szCs w:val="24"/>
          <w:highlight w:val="none"/>
        </w:rPr>
        <w:t>、</w:t>
      </w:r>
      <w:r>
        <w:rPr>
          <w:rStyle w:val="97"/>
          <w:rFonts w:hint="eastAsia"/>
          <w:b/>
          <w:color w:val="auto"/>
          <w:kern w:val="0"/>
          <w:sz w:val="24"/>
          <w:szCs w:val="24"/>
          <w:highlight w:val="none"/>
          <w:lang w:val="en-US" w:eastAsia="zh-CN"/>
        </w:rPr>
        <w:t>磋商函附录</w:t>
      </w:r>
      <w:bookmarkEnd w:id="87"/>
    </w:p>
    <w:tbl>
      <w:tblPr>
        <w:tblStyle w:val="22"/>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2"/>
        <w:gridCol w:w="6708"/>
      </w:tblGrid>
      <w:tr w14:paraId="4C56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7933F6F3">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rPr>
              <w:t>项目名称</w:t>
            </w:r>
          </w:p>
        </w:tc>
        <w:tc>
          <w:tcPr>
            <w:tcW w:w="6708" w:type="dxa"/>
            <w:vAlign w:val="center"/>
          </w:tcPr>
          <w:p w14:paraId="74C2DF83">
            <w:pPr>
              <w:pageBreakBefore w:val="0"/>
              <w:kinsoku/>
              <w:wordWrap/>
              <w:overflowPunct/>
              <w:autoSpaceDE/>
              <w:autoSpaceDN/>
              <w:bidi w:val="0"/>
              <w:spacing w:after="0" w:line="560" w:lineRule="exact"/>
              <w:jc w:val="center"/>
              <w:textAlignment w:val="auto"/>
              <w:rPr>
                <w:rStyle w:val="97"/>
                <w:rFonts w:hint="eastAsia" w:eastAsia="宋体"/>
                <w:color w:val="auto"/>
                <w:sz w:val="24"/>
                <w:szCs w:val="24"/>
                <w:highlight w:val="none"/>
                <w:u w:val="single"/>
                <w:lang w:eastAsia="zh-CN"/>
              </w:rPr>
            </w:pPr>
          </w:p>
        </w:tc>
      </w:tr>
      <w:tr w14:paraId="4C138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63A981A2">
            <w:pPr>
              <w:pageBreakBefore w:val="0"/>
              <w:kinsoku/>
              <w:wordWrap/>
              <w:overflowPunct/>
              <w:autoSpaceDE/>
              <w:autoSpaceDN/>
              <w:bidi w:val="0"/>
              <w:spacing w:after="0" w:line="560" w:lineRule="exact"/>
              <w:jc w:val="center"/>
              <w:textAlignment w:val="auto"/>
              <w:rPr>
                <w:rStyle w:val="97"/>
                <w:color w:val="auto"/>
                <w:sz w:val="24"/>
                <w:szCs w:val="24"/>
                <w:highlight w:val="none"/>
              </w:rPr>
            </w:pPr>
            <w:r>
              <w:rPr>
                <w:rStyle w:val="97"/>
                <w:rFonts w:hint="eastAsia"/>
                <w:color w:val="auto"/>
                <w:sz w:val="24"/>
                <w:szCs w:val="24"/>
                <w:highlight w:val="none"/>
                <w:lang w:val="en-US" w:eastAsia="zh-CN"/>
              </w:rPr>
              <w:t>供应商</w:t>
            </w:r>
            <w:r>
              <w:rPr>
                <w:rStyle w:val="97"/>
                <w:rFonts w:hint="eastAsia"/>
                <w:color w:val="auto"/>
                <w:sz w:val="24"/>
                <w:szCs w:val="24"/>
                <w:highlight w:val="none"/>
              </w:rPr>
              <w:t>名称</w:t>
            </w:r>
          </w:p>
        </w:tc>
        <w:tc>
          <w:tcPr>
            <w:tcW w:w="6708" w:type="dxa"/>
            <w:vAlign w:val="center"/>
          </w:tcPr>
          <w:p w14:paraId="3D51E027">
            <w:pPr>
              <w:pageBreakBefore w:val="0"/>
              <w:kinsoku/>
              <w:wordWrap/>
              <w:overflowPunct/>
              <w:autoSpaceDE/>
              <w:autoSpaceDN/>
              <w:bidi w:val="0"/>
              <w:spacing w:after="0" w:line="560" w:lineRule="exact"/>
              <w:ind w:firstLine="480" w:firstLineChars="200"/>
              <w:jc w:val="left"/>
              <w:textAlignment w:val="auto"/>
              <w:rPr>
                <w:rStyle w:val="97"/>
                <w:color w:val="auto"/>
                <w:sz w:val="24"/>
                <w:szCs w:val="24"/>
                <w:highlight w:val="none"/>
              </w:rPr>
            </w:pPr>
          </w:p>
        </w:tc>
      </w:tr>
      <w:tr w14:paraId="05D0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Merge w:val="restart"/>
            <w:vAlign w:val="center"/>
          </w:tcPr>
          <w:p w14:paraId="5AE04B71">
            <w:pPr>
              <w:pageBreakBefore w:val="0"/>
              <w:kinsoku/>
              <w:wordWrap/>
              <w:overflowPunct/>
              <w:autoSpaceDE/>
              <w:autoSpaceDN/>
              <w:bidi w:val="0"/>
              <w:spacing w:after="0" w:line="560" w:lineRule="exact"/>
              <w:jc w:val="center"/>
              <w:textAlignment w:val="auto"/>
              <w:rPr>
                <w:rStyle w:val="97"/>
                <w:rFonts w:cs="宋体"/>
                <w:bCs/>
                <w:color w:val="auto"/>
                <w:sz w:val="24"/>
                <w:szCs w:val="24"/>
                <w:highlight w:val="none"/>
              </w:rPr>
            </w:pPr>
            <w:r>
              <w:rPr>
                <w:rStyle w:val="97"/>
                <w:rFonts w:hint="eastAsia" w:cs="宋体"/>
                <w:bCs/>
                <w:color w:val="auto"/>
                <w:sz w:val="24"/>
                <w:szCs w:val="24"/>
                <w:highlight w:val="none"/>
              </w:rPr>
              <w:t>磋商报价</w:t>
            </w:r>
          </w:p>
        </w:tc>
        <w:tc>
          <w:tcPr>
            <w:tcW w:w="6708" w:type="dxa"/>
            <w:vAlign w:val="center"/>
          </w:tcPr>
          <w:p w14:paraId="4DD5A42E">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r>
              <w:rPr>
                <w:rStyle w:val="97"/>
                <w:rFonts w:hint="eastAsia" w:cs="宋体"/>
                <w:bCs/>
                <w:color w:val="auto"/>
                <w:sz w:val="24"/>
                <w:szCs w:val="24"/>
                <w:highlight w:val="none"/>
              </w:rPr>
              <w:t>大写：</w:t>
            </w:r>
          </w:p>
        </w:tc>
      </w:tr>
      <w:tr w14:paraId="4336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Merge w:val="continue"/>
            <w:vAlign w:val="center"/>
          </w:tcPr>
          <w:p w14:paraId="4E8761BF">
            <w:pPr>
              <w:pageBreakBefore w:val="0"/>
              <w:kinsoku/>
              <w:wordWrap/>
              <w:overflowPunct/>
              <w:autoSpaceDE/>
              <w:autoSpaceDN/>
              <w:bidi w:val="0"/>
              <w:spacing w:after="0" w:line="560" w:lineRule="exact"/>
              <w:ind w:firstLine="480" w:firstLineChars="200"/>
              <w:jc w:val="center"/>
              <w:textAlignment w:val="auto"/>
              <w:rPr>
                <w:rStyle w:val="97"/>
                <w:rFonts w:cs="宋体"/>
                <w:bCs/>
                <w:color w:val="auto"/>
                <w:sz w:val="24"/>
                <w:szCs w:val="24"/>
                <w:highlight w:val="none"/>
              </w:rPr>
            </w:pPr>
          </w:p>
        </w:tc>
        <w:tc>
          <w:tcPr>
            <w:tcW w:w="6708" w:type="dxa"/>
            <w:vAlign w:val="center"/>
          </w:tcPr>
          <w:p w14:paraId="024843F3">
            <w:pPr>
              <w:pageBreakBefore w:val="0"/>
              <w:kinsoku/>
              <w:wordWrap/>
              <w:overflowPunct/>
              <w:autoSpaceDE/>
              <w:autoSpaceDN/>
              <w:bidi w:val="0"/>
              <w:spacing w:after="0" w:line="560" w:lineRule="exact"/>
              <w:ind w:firstLine="480" w:firstLineChars="200"/>
              <w:jc w:val="left"/>
              <w:textAlignment w:val="auto"/>
              <w:rPr>
                <w:rFonts w:hint="default"/>
                <w:sz w:val="24"/>
                <w:szCs w:val="24"/>
                <w:lang w:val="en-US" w:eastAsia="zh-CN"/>
              </w:rPr>
            </w:pPr>
            <w:r>
              <w:rPr>
                <w:rStyle w:val="97"/>
                <w:rFonts w:hint="eastAsia" w:cs="宋体"/>
                <w:bCs/>
                <w:color w:val="auto"/>
                <w:sz w:val="24"/>
                <w:szCs w:val="24"/>
                <w:highlight w:val="none"/>
              </w:rPr>
              <w:t>小写：</w:t>
            </w:r>
            <w:r>
              <w:rPr>
                <w:rStyle w:val="97"/>
                <w:rFonts w:hint="eastAsia" w:cs="宋体"/>
                <w:bCs/>
                <w:color w:val="auto"/>
                <w:sz w:val="24"/>
                <w:szCs w:val="24"/>
                <w:highlight w:val="none"/>
                <w:lang w:val="en-US" w:eastAsia="zh-CN"/>
              </w:rPr>
              <w:t xml:space="preserve">                元/卷</w:t>
            </w:r>
          </w:p>
        </w:tc>
      </w:tr>
      <w:tr w14:paraId="2A1C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008AA4FE">
            <w:pPr>
              <w:pageBreakBefore w:val="0"/>
              <w:kinsoku/>
              <w:wordWrap/>
              <w:overflowPunct/>
              <w:autoSpaceDE/>
              <w:autoSpaceDN/>
              <w:bidi w:val="0"/>
              <w:spacing w:after="0" w:line="560" w:lineRule="exact"/>
              <w:jc w:val="center"/>
              <w:textAlignment w:val="auto"/>
              <w:rPr>
                <w:rStyle w:val="97"/>
                <w:rFonts w:hint="default" w:eastAsia="宋体" w:cs="宋体"/>
                <w:bCs/>
                <w:color w:val="auto"/>
                <w:sz w:val="24"/>
                <w:szCs w:val="24"/>
                <w:highlight w:val="none"/>
                <w:lang w:val="en-US" w:eastAsia="zh-CN"/>
              </w:rPr>
            </w:pPr>
            <w:r>
              <w:rPr>
                <w:rStyle w:val="97"/>
                <w:rFonts w:hint="eastAsia" w:cs="宋体"/>
                <w:bCs/>
                <w:color w:val="auto"/>
                <w:sz w:val="24"/>
                <w:szCs w:val="24"/>
                <w:highlight w:val="none"/>
                <w:lang w:val="en-US" w:eastAsia="zh-CN"/>
              </w:rPr>
              <w:t>服务期限</w:t>
            </w:r>
          </w:p>
        </w:tc>
        <w:tc>
          <w:tcPr>
            <w:tcW w:w="6708" w:type="dxa"/>
            <w:vAlign w:val="center"/>
          </w:tcPr>
          <w:p w14:paraId="76322666">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p>
        </w:tc>
      </w:tr>
      <w:tr w14:paraId="00A7D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58465423">
            <w:pPr>
              <w:pageBreakBefore w:val="0"/>
              <w:kinsoku/>
              <w:wordWrap/>
              <w:overflowPunct/>
              <w:autoSpaceDE/>
              <w:autoSpaceDN/>
              <w:bidi w:val="0"/>
              <w:spacing w:after="0" w:line="560" w:lineRule="exact"/>
              <w:jc w:val="center"/>
              <w:textAlignment w:val="auto"/>
              <w:rPr>
                <w:rStyle w:val="97"/>
                <w:rFonts w:hint="default" w:eastAsia="宋体" w:cs="宋体"/>
                <w:bCs/>
                <w:color w:val="auto"/>
                <w:sz w:val="24"/>
                <w:szCs w:val="24"/>
                <w:highlight w:val="none"/>
                <w:lang w:val="en-US" w:eastAsia="zh-CN"/>
              </w:rPr>
            </w:pPr>
            <w:r>
              <w:rPr>
                <w:rStyle w:val="97"/>
                <w:rFonts w:hint="eastAsia" w:cs="宋体"/>
                <w:bCs/>
                <w:color w:val="auto"/>
                <w:sz w:val="24"/>
                <w:szCs w:val="24"/>
                <w:highlight w:val="none"/>
                <w:lang w:val="en-US" w:eastAsia="zh-CN"/>
              </w:rPr>
              <w:t>服务质量</w:t>
            </w:r>
          </w:p>
        </w:tc>
        <w:tc>
          <w:tcPr>
            <w:tcW w:w="6708" w:type="dxa"/>
            <w:vAlign w:val="center"/>
          </w:tcPr>
          <w:p w14:paraId="5480DEA9">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p>
        </w:tc>
      </w:tr>
      <w:tr w14:paraId="1DCB9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5CB75AED">
            <w:pPr>
              <w:pageBreakBefore w:val="0"/>
              <w:kinsoku/>
              <w:wordWrap/>
              <w:overflowPunct/>
              <w:autoSpaceDE/>
              <w:autoSpaceDN/>
              <w:bidi w:val="0"/>
              <w:spacing w:after="0" w:line="560" w:lineRule="exact"/>
              <w:jc w:val="center"/>
              <w:textAlignment w:val="auto"/>
              <w:rPr>
                <w:rStyle w:val="97"/>
                <w:rFonts w:hint="default" w:cs="宋体"/>
                <w:bCs/>
                <w:color w:val="auto"/>
                <w:sz w:val="24"/>
                <w:szCs w:val="24"/>
                <w:highlight w:val="none"/>
                <w:lang w:val="en-US" w:eastAsia="zh-CN"/>
              </w:rPr>
            </w:pPr>
            <w:r>
              <w:rPr>
                <w:rStyle w:val="97"/>
                <w:rFonts w:hint="eastAsia" w:cs="宋体"/>
                <w:bCs/>
                <w:color w:val="auto"/>
                <w:sz w:val="24"/>
                <w:szCs w:val="24"/>
                <w:highlight w:val="none"/>
                <w:lang w:val="en-US" w:eastAsia="zh-CN"/>
              </w:rPr>
              <w:t>服务地点</w:t>
            </w:r>
          </w:p>
        </w:tc>
        <w:tc>
          <w:tcPr>
            <w:tcW w:w="6708" w:type="dxa"/>
            <w:vAlign w:val="center"/>
          </w:tcPr>
          <w:p w14:paraId="736FEAC9">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p>
        </w:tc>
      </w:tr>
      <w:tr w14:paraId="25959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4B32D24B">
            <w:pPr>
              <w:pageBreakBefore w:val="0"/>
              <w:kinsoku/>
              <w:wordWrap/>
              <w:overflowPunct/>
              <w:autoSpaceDE/>
              <w:autoSpaceDN/>
              <w:bidi w:val="0"/>
              <w:spacing w:after="0" w:line="560" w:lineRule="exact"/>
              <w:jc w:val="center"/>
              <w:textAlignment w:val="auto"/>
              <w:rPr>
                <w:rStyle w:val="97"/>
                <w:rFonts w:cs="宋体"/>
                <w:bCs/>
                <w:color w:val="auto"/>
                <w:sz w:val="24"/>
                <w:szCs w:val="24"/>
                <w:highlight w:val="none"/>
              </w:rPr>
            </w:pPr>
            <w:r>
              <w:rPr>
                <w:rStyle w:val="97"/>
                <w:rFonts w:hint="eastAsia" w:cs="宋体"/>
                <w:bCs/>
                <w:color w:val="auto"/>
                <w:sz w:val="24"/>
                <w:szCs w:val="24"/>
                <w:highlight w:val="none"/>
                <w:lang w:val="en-US" w:eastAsia="zh-CN"/>
              </w:rPr>
              <w:t>磋商</w:t>
            </w:r>
            <w:r>
              <w:rPr>
                <w:rStyle w:val="97"/>
                <w:rFonts w:hint="eastAsia" w:cs="宋体"/>
                <w:bCs/>
                <w:color w:val="auto"/>
                <w:sz w:val="24"/>
                <w:szCs w:val="24"/>
                <w:highlight w:val="none"/>
              </w:rPr>
              <w:t>有效期</w:t>
            </w:r>
          </w:p>
        </w:tc>
        <w:tc>
          <w:tcPr>
            <w:tcW w:w="6708" w:type="dxa"/>
            <w:vAlign w:val="center"/>
          </w:tcPr>
          <w:p w14:paraId="6AF905C7">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p>
        </w:tc>
      </w:tr>
      <w:tr w14:paraId="2CBF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61E49383">
            <w:pPr>
              <w:pageBreakBefore w:val="0"/>
              <w:kinsoku/>
              <w:wordWrap/>
              <w:overflowPunct/>
              <w:autoSpaceDE/>
              <w:autoSpaceDN/>
              <w:bidi w:val="0"/>
              <w:spacing w:after="0" w:line="560" w:lineRule="exact"/>
              <w:jc w:val="center"/>
              <w:textAlignment w:val="auto"/>
              <w:rPr>
                <w:rStyle w:val="97"/>
                <w:rFonts w:cs="宋体"/>
                <w:bCs/>
                <w:color w:val="auto"/>
                <w:sz w:val="24"/>
                <w:szCs w:val="24"/>
                <w:highlight w:val="none"/>
              </w:rPr>
            </w:pPr>
            <w:r>
              <w:rPr>
                <w:rStyle w:val="97"/>
                <w:rFonts w:hint="eastAsia" w:cs="宋体"/>
                <w:bCs/>
                <w:color w:val="auto"/>
                <w:sz w:val="24"/>
                <w:szCs w:val="24"/>
                <w:highlight w:val="none"/>
              </w:rPr>
              <w:t>其他声明</w:t>
            </w:r>
          </w:p>
        </w:tc>
        <w:tc>
          <w:tcPr>
            <w:tcW w:w="6708" w:type="dxa"/>
            <w:vAlign w:val="center"/>
          </w:tcPr>
          <w:p w14:paraId="138225F5">
            <w:pPr>
              <w:pageBreakBefore w:val="0"/>
              <w:kinsoku/>
              <w:wordWrap/>
              <w:overflowPunct/>
              <w:autoSpaceDE/>
              <w:autoSpaceDN/>
              <w:bidi w:val="0"/>
              <w:spacing w:after="0" w:line="560" w:lineRule="exact"/>
              <w:ind w:firstLine="480" w:firstLineChars="200"/>
              <w:jc w:val="left"/>
              <w:textAlignment w:val="auto"/>
              <w:rPr>
                <w:rStyle w:val="97"/>
                <w:rFonts w:cs="宋体"/>
                <w:bCs/>
                <w:color w:val="auto"/>
                <w:sz w:val="24"/>
                <w:szCs w:val="24"/>
                <w:highlight w:val="none"/>
              </w:rPr>
            </w:pPr>
          </w:p>
        </w:tc>
      </w:tr>
      <w:tr w14:paraId="1D957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352" w:type="dxa"/>
            <w:vAlign w:val="center"/>
          </w:tcPr>
          <w:p w14:paraId="0E5CFDA7">
            <w:pPr>
              <w:pageBreakBefore w:val="0"/>
              <w:kinsoku/>
              <w:wordWrap/>
              <w:overflowPunct/>
              <w:autoSpaceDE/>
              <w:autoSpaceDN/>
              <w:bidi w:val="0"/>
              <w:spacing w:after="0" w:line="560" w:lineRule="exact"/>
              <w:jc w:val="center"/>
              <w:textAlignment w:val="auto"/>
              <w:rPr>
                <w:rStyle w:val="97"/>
                <w:rFonts w:cs="宋体"/>
                <w:bCs/>
                <w:color w:val="auto"/>
                <w:sz w:val="24"/>
                <w:szCs w:val="24"/>
                <w:highlight w:val="none"/>
              </w:rPr>
            </w:pPr>
            <w:bookmarkStart w:id="88" w:name="OLE_LINK9"/>
            <w:r>
              <w:rPr>
                <w:rStyle w:val="97"/>
                <w:rFonts w:hint="eastAsia" w:cs="宋体"/>
                <w:bCs/>
                <w:color w:val="auto"/>
                <w:sz w:val="24"/>
                <w:szCs w:val="24"/>
                <w:highlight w:val="none"/>
              </w:rPr>
              <w:t>付款方式</w:t>
            </w:r>
            <w:bookmarkEnd w:id="88"/>
          </w:p>
        </w:tc>
        <w:tc>
          <w:tcPr>
            <w:tcW w:w="6708" w:type="dxa"/>
            <w:vAlign w:val="center"/>
          </w:tcPr>
          <w:p w14:paraId="62D86D3C">
            <w:pPr>
              <w:pageBreakBefore w:val="0"/>
              <w:kinsoku/>
              <w:wordWrap/>
              <w:overflowPunct/>
              <w:autoSpaceDE/>
              <w:autoSpaceDN/>
              <w:bidi w:val="0"/>
              <w:spacing w:after="0" w:line="560" w:lineRule="exact"/>
              <w:ind w:firstLine="480" w:firstLineChars="200"/>
              <w:jc w:val="left"/>
              <w:textAlignment w:val="auto"/>
              <w:rPr>
                <w:rStyle w:val="97"/>
                <w:rFonts w:hint="default" w:eastAsia="宋体" w:cs="宋体"/>
                <w:bCs/>
                <w:color w:val="auto"/>
                <w:sz w:val="24"/>
                <w:szCs w:val="24"/>
                <w:highlight w:val="none"/>
                <w:lang w:val="en-US" w:eastAsia="zh-CN"/>
              </w:rPr>
            </w:pPr>
          </w:p>
        </w:tc>
      </w:tr>
    </w:tbl>
    <w:p w14:paraId="4687B1E2">
      <w:pPr>
        <w:pageBreakBefore w:val="0"/>
        <w:kinsoku/>
        <w:wordWrap/>
        <w:overflowPunct/>
        <w:autoSpaceDE/>
        <w:autoSpaceDN/>
        <w:bidi w:val="0"/>
        <w:spacing w:after="0" w:line="560" w:lineRule="exact"/>
        <w:ind w:firstLine="482" w:firstLineChars="200"/>
        <w:jc w:val="left"/>
        <w:rPr>
          <w:rStyle w:val="97"/>
          <w:b/>
          <w:color w:val="auto"/>
          <w:sz w:val="24"/>
          <w:szCs w:val="24"/>
          <w:highlight w:val="none"/>
        </w:rPr>
      </w:pPr>
    </w:p>
    <w:p w14:paraId="261E5E6A">
      <w:pPr>
        <w:pageBreakBefore w:val="0"/>
        <w:kinsoku/>
        <w:wordWrap/>
        <w:overflowPunct/>
        <w:autoSpaceDE/>
        <w:autoSpaceDN/>
        <w:bidi w:val="0"/>
        <w:spacing w:after="0" w:line="560" w:lineRule="exact"/>
        <w:ind w:firstLine="960" w:firstLineChars="400"/>
        <w:jc w:val="left"/>
        <w:rPr>
          <w:rStyle w:val="97"/>
          <w:color w:val="auto"/>
          <w:sz w:val="24"/>
          <w:szCs w:val="24"/>
          <w:highlight w:val="none"/>
        </w:rPr>
      </w:pPr>
      <w:r>
        <w:rPr>
          <w:rStyle w:val="97"/>
          <w:rFonts w:hint="eastAsia"/>
          <w:color w:val="auto"/>
          <w:sz w:val="24"/>
          <w:szCs w:val="24"/>
          <w:highlight w:val="none"/>
          <w:lang w:val="en-US" w:eastAsia="zh-CN"/>
        </w:rPr>
        <w:t>供应商</w:t>
      </w:r>
      <w:r>
        <w:rPr>
          <w:rStyle w:val="97"/>
          <w:rFonts w:hint="eastAsia"/>
          <w:color w:val="auto"/>
          <w:sz w:val="24"/>
          <w:szCs w:val="24"/>
          <w:highlight w:val="none"/>
        </w:rPr>
        <w:t>（企业电子签章或盖章）：</w:t>
      </w:r>
    </w:p>
    <w:p w14:paraId="28CF7C2C">
      <w:pPr>
        <w:pageBreakBefore w:val="0"/>
        <w:kinsoku/>
        <w:wordWrap/>
        <w:overflowPunct/>
        <w:autoSpaceDE/>
        <w:autoSpaceDN/>
        <w:bidi w:val="0"/>
        <w:spacing w:after="0" w:line="560" w:lineRule="exact"/>
        <w:ind w:firstLine="960" w:firstLineChars="400"/>
        <w:jc w:val="left"/>
        <w:rPr>
          <w:rStyle w:val="97"/>
          <w:color w:val="auto"/>
          <w:sz w:val="24"/>
          <w:szCs w:val="24"/>
          <w:highlight w:val="none"/>
        </w:rPr>
      </w:pPr>
      <w:r>
        <w:rPr>
          <w:rStyle w:val="97"/>
          <w:rFonts w:hint="eastAsia"/>
          <w:color w:val="auto"/>
          <w:sz w:val="24"/>
          <w:szCs w:val="24"/>
          <w:highlight w:val="none"/>
        </w:rPr>
        <w:t>法定代表人</w:t>
      </w:r>
      <w:r>
        <w:rPr>
          <w:rStyle w:val="97"/>
          <w:rFonts w:hint="eastAsia"/>
          <w:color w:val="auto"/>
          <w:sz w:val="24"/>
          <w:szCs w:val="24"/>
          <w:highlight w:val="none"/>
          <w:lang w:val="en-US" w:eastAsia="zh-CN"/>
        </w:rPr>
        <w:t>或其授权委托人</w:t>
      </w:r>
      <w:r>
        <w:rPr>
          <w:rStyle w:val="97"/>
          <w:rFonts w:hint="eastAsia"/>
          <w:color w:val="auto"/>
          <w:sz w:val="24"/>
          <w:szCs w:val="24"/>
          <w:highlight w:val="none"/>
        </w:rPr>
        <w:t>（个人电子签章或盖章或签字）：</w:t>
      </w:r>
    </w:p>
    <w:p w14:paraId="544BC1FB">
      <w:pPr>
        <w:pageBreakBefore w:val="0"/>
        <w:kinsoku/>
        <w:wordWrap/>
        <w:overflowPunct/>
        <w:autoSpaceDE/>
        <w:autoSpaceDN/>
        <w:bidi w:val="0"/>
        <w:spacing w:after="0" w:line="560" w:lineRule="exact"/>
        <w:ind w:firstLine="960" w:firstLineChars="400"/>
        <w:jc w:val="left"/>
        <w:rPr>
          <w:rStyle w:val="97"/>
          <w:rFonts w:hint="eastAsia"/>
          <w:color w:val="auto"/>
          <w:sz w:val="24"/>
          <w:szCs w:val="24"/>
          <w:highlight w:val="none"/>
        </w:rPr>
      </w:pPr>
      <w:r>
        <w:rPr>
          <w:rStyle w:val="97"/>
          <w:rFonts w:hint="eastAsia"/>
          <w:color w:val="auto"/>
          <w:sz w:val="24"/>
          <w:szCs w:val="24"/>
          <w:highlight w:val="none"/>
        </w:rPr>
        <w:t>日期：  年  月  日</w:t>
      </w:r>
    </w:p>
    <w:p w14:paraId="35830FC2">
      <w:pPr>
        <w:rPr>
          <w:rStyle w:val="97"/>
          <w:rFonts w:hint="eastAsia" w:cs="宋体"/>
          <w:b/>
          <w:bCs/>
          <w:color w:val="auto"/>
          <w:sz w:val="24"/>
          <w:szCs w:val="24"/>
          <w:highlight w:val="none"/>
          <w:lang w:val="en-US" w:eastAsia="zh-CN"/>
        </w:rPr>
      </w:pPr>
    </w:p>
    <w:p w14:paraId="2EE29B8F">
      <w:pPr>
        <w:pStyle w:val="3"/>
        <w:ind w:firstLine="482" w:firstLineChars="200"/>
        <w:rPr>
          <w:rFonts w:hint="eastAsia" w:ascii="宋体" w:hAnsi="宋体" w:cs="宋体"/>
          <w:b/>
          <w:bCs/>
          <w:color w:val="auto"/>
          <w:sz w:val="24"/>
          <w:szCs w:val="24"/>
          <w:lang w:eastAsia="zh-CN"/>
        </w:rPr>
      </w:pPr>
    </w:p>
    <w:p w14:paraId="78C0FBEC">
      <w:pPr>
        <w:rPr>
          <w:rStyle w:val="97"/>
          <w:rFonts w:hint="eastAsia" w:cs="宋体"/>
          <w:b/>
          <w:bCs/>
          <w:color w:val="auto"/>
          <w:sz w:val="24"/>
          <w:szCs w:val="24"/>
          <w:highlight w:val="none"/>
          <w:lang w:val="en-US" w:eastAsia="zh-CN"/>
        </w:rPr>
      </w:pPr>
      <w:r>
        <w:rPr>
          <w:rStyle w:val="97"/>
          <w:rFonts w:hint="eastAsia" w:cs="宋体"/>
          <w:b/>
          <w:bCs/>
          <w:color w:val="auto"/>
          <w:sz w:val="24"/>
          <w:szCs w:val="24"/>
          <w:highlight w:val="none"/>
          <w:lang w:val="en-US" w:eastAsia="zh-CN"/>
        </w:rPr>
        <w:br w:type="page"/>
      </w:r>
    </w:p>
    <w:p w14:paraId="52942BC2">
      <w:pPr>
        <w:jc w:val="center"/>
        <w:outlineLvl w:val="1"/>
        <w:rPr>
          <w:rFonts w:hint="eastAsia" w:ascii="宋体" w:hAnsi="宋体" w:eastAsia="宋体" w:cs="宋体"/>
          <w:b/>
          <w:bCs/>
          <w:color w:val="auto"/>
          <w:kern w:val="2"/>
          <w:sz w:val="24"/>
          <w:szCs w:val="24"/>
          <w:lang w:val="zh-CN" w:eastAsia="zh-CN" w:bidi="ar-SA"/>
        </w:rPr>
      </w:pPr>
      <w:bookmarkStart w:id="89" w:name="_Toc9350"/>
      <w:bookmarkStart w:id="90" w:name="_Toc24931"/>
      <w:bookmarkStart w:id="91" w:name="_Toc23975"/>
      <w:bookmarkStart w:id="92" w:name="_Toc22014"/>
      <w:r>
        <w:rPr>
          <w:rFonts w:hint="eastAsia" w:cs="宋体"/>
          <w:b/>
          <w:bCs/>
          <w:color w:val="auto"/>
          <w:kern w:val="2"/>
          <w:sz w:val="24"/>
          <w:szCs w:val="24"/>
          <w:lang w:val="en-US" w:eastAsia="zh-CN" w:bidi="ar-SA"/>
        </w:rPr>
        <w:t>三、</w:t>
      </w:r>
      <w:r>
        <w:rPr>
          <w:rFonts w:hint="eastAsia" w:ascii="宋体" w:hAnsi="宋体" w:eastAsia="宋体" w:cs="宋体"/>
          <w:b/>
          <w:bCs/>
          <w:color w:val="auto"/>
          <w:kern w:val="2"/>
          <w:sz w:val="24"/>
          <w:szCs w:val="24"/>
          <w:lang w:val="zh-CN" w:eastAsia="zh-CN" w:bidi="ar-SA"/>
        </w:rPr>
        <w:t>法定代表人身份证明</w:t>
      </w:r>
      <w:bookmarkEnd w:id="89"/>
      <w:bookmarkEnd w:id="90"/>
      <w:bookmarkEnd w:id="91"/>
      <w:bookmarkEnd w:id="92"/>
    </w:p>
    <w:p w14:paraId="57DAE475">
      <w:pPr>
        <w:keepNext w:val="0"/>
        <w:keepLines w:val="0"/>
        <w:pageBreakBefore w:val="0"/>
        <w:widowControl w:val="0"/>
        <w:kinsoku/>
        <w:wordWrap/>
        <w:overflowPunct w:val="0"/>
        <w:topLinePunct/>
        <w:autoSpaceDE w:val="0"/>
        <w:autoSpaceDN w:val="0"/>
        <w:bidi w:val="0"/>
        <w:adjustRightInd w:val="0"/>
        <w:snapToGrid/>
        <w:spacing w:line="360" w:lineRule="auto"/>
        <w:textAlignment w:val="auto"/>
        <w:outlineLvl w:val="9"/>
        <w:rPr>
          <w:rFonts w:hint="eastAsia" w:ascii="宋体" w:hAnsi="宋体" w:eastAsia="宋体" w:cs="宋体"/>
          <w:color w:val="auto"/>
          <w:kern w:val="0"/>
          <w:sz w:val="24"/>
          <w:szCs w:val="24"/>
          <w:highlight w:val="none"/>
        </w:rPr>
      </w:pPr>
    </w:p>
    <w:p w14:paraId="2F9EE4C7">
      <w:pPr>
        <w:pStyle w:val="118"/>
        <w:keepNext w:val="0"/>
        <w:keepLines w:val="0"/>
        <w:widowControl w:val="0"/>
        <w:shd w:val="clear" w:color="auto" w:fill="auto"/>
        <w:tabs>
          <w:tab w:val="left" w:pos="4613"/>
        </w:tabs>
        <w:bidi w:val="0"/>
        <w:spacing w:before="0" w:after="2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14:paraId="3044C276">
      <w:pPr>
        <w:pStyle w:val="118"/>
        <w:keepNext w:val="0"/>
        <w:keepLines w:val="0"/>
        <w:widowControl w:val="0"/>
        <w:shd w:val="clear" w:color="auto" w:fill="auto"/>
        <w:tabs>
          <w:tab w:val="left" w:pos="4608"/>
        </w:tabs>
        <w:bidi w:val="0"/>
        <w:spacing w:before="0" w:after="2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单位性质：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14:paraId="61075DBF">
      <w:pPr>
        <w:pStyle w:val="118"/>
        <w:keepNext w:val="0"/>
        <w:keepLines w:val="0"/>
        <w:widowControl w:val="0"/>
        <w:shd w:val="clear" w:color="auto" w:fill="auto"/>
        <w:tabs>
          <w:tab w:val="left" w:pos="4613"/>
        </w:tabs>
        <w:bidi w:val="0"/>
        <w:spacing w:before="0" w:after="2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14:paraId="1A0015B1">
      <w:pPr>
        <w:pStyle w:val="118"/>
        <w:keepNext w:val="0"/>
        <w:keepLines w:val="0"/>
        <w:widowControl w:val="0"/>
        <w:shd w:val="clear" w:color="auto" w:fill="auto"/>
        <w:tabs>
          <w:tab w:val="left" w:pos="1776"/>
          <w:tab w:val="left" w:pos="2933"/>
          <w:tab w:val="left" w:pos="4085"/>
        </w:tabs>
        <w:bidi w:val="0"/>
        <w:spacing w:before="0" w:after="2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日</w:t>
      </w:r>
    </w:p>
    <w:p w14:paraId="3F62FF8B">
      <w:pPr>
        <w:pStyle w:val="118"/>
        <w:keepNext w:val="0"/>
        <w:keepLines w:val="0"/>
        <w:widowControl w:val="0"/>
        <w:shd w:val="clear" w:color="auto" w:fill="auto"/>
        <w:tabs>
          <w:tab w:val="left" w:pos="3667"/>
        </w:tabs>
        <w:bidi w:val="0"/>
        <w:spacing w:before="0" w:after="2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经营期限：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14:paraId="2A12A291">
      <w:pPr>
        <w:pStyle w:val="118"/>
        <w:keepNext w:val="0"/>
        <w:keepLines w:val="0"/>
        <w:widowControl w:val="0"/>
        <w:shd w:val="clear" w:color="auto" w:fill="auto"/>
        <w:tabs>
          <w:tab w:val="left" w:pos="1358"/>
          <w:tab w:val="left" w:pos="2933"/>
          <w:tab w:val="left" w:pos="4402"/>
          <w:tab w:val="left" w:pos="5976"/>
        </w:tabs>
        <w:bidi w:val="0"/>
        <w:spacing w:before="0" w:after="22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14:paraId="080C288A">
      <w:pPr>
        <w:pStyle w:val="118"/>
        <w:keepNext w:val="0"/>
        <w:keepLines w:val="0"/>
        <w:widowControl w:val="0"/>
        <w:shd w:val="clear" w:color="auto" w:fill="auto"/>
        <w:tabs>
          <w:tab w:val="left" w:pos="2928"/>
        </w:tabs>
        <w:bidi w:val="0"/>
        <w:spacing w:before="0" w:after="700" w:line="240" w:lineRule="auto"/>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（供应商名称）的法定代表人。</w:t>
      </w:r>
    </w:p>
    <w:p w14:paraId="62BA1FCA">
      <w:pPr>
        <w:pStyle w:val="118"/>
        <w:keepNext w:val="0"/>
        <w:keepLines w:val="0"/>
        <w:widowControl w:val="0"/>
        <w:shd w:val="clear" w:color="auto" w:fill="auto"/>
        <w:bidi w:val="0"/>
        <w:spacing w:before="0" w:after="700" w:line="240" w:lineRule="auto"/>
        <w:ind w:left="0" w:right="0" w:firstLine="5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特此证明。</w:t>
      </w:r>
    </w:p>
    <w:p w14:paraId="2F0BA2D5">
      <w:pPr>
        <w:pStyle w:val="118"/>
        <w:keepNext w:val="0"/>
        <w:keepLines w:val="0"/>
        <w:widowControl w:val="0"/>
        <w:shd w:val="clear" w:color="auto" w:fill="auto"/>
        <w:bidi w:val="0"/>
        <w:spacing w:before="0" w:after="700" w:line="240" w:lineRule="auto"/>
        <w:ind w:left="0" w:right="0" w:firstLine="5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附：法定代表人身份证明</w:t>
      </w:r>
    </w:p>
    <w:p w14:paraId="18FEBB84">
      <w:pPr>
        <w:pStyle w:val="118"/>
        <w:keepNext w:val="0"/>
        <w:keepLines w:val="0"/>
        <w:widowControl w:val="0"/>
        <w:shd w:val="clear" w:color="auto" w:fill="auto"/>
        <w:tabs>
          <w:tab w:val="left" w:pos="3250"/>
        </w:tabs>
        <w:bidi w:val="0"/>
        <w:spacing w:before="0" w:after="220" w:line="240" w:lineRule="auto"/>
        <w:ind w:left="0" w:right="400" w:firstLine="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（盖单位公章）</w:t>
      </w:r>
    </w:p>
    <w:p w14:paraId="0622B9B3">
      <w:pPr>
        <w:pStyle w:val="118"/>
        <w:keepNext w:val="0"/>
        <w:keepLines w:val="0"/>
        <w:widowControl w:val="0"/>
        <w:shd w:val="clear" w:color="auto" w:fill="auto"/>
        <w:tabs>
          <w:tab w:val="left" w:pos="1162"/>
          <w:tab w:val="left" w:pos="2314"/>
          <w:tab w:val="left" w:pos="3466"/>
        </w:tabs>
        <w:bidi w:val="0"/>
        <w:spacing w:before="0" w:after="220" w:line="240" w:lineRule="auto"/>
        <w:ind w:left="0" w:right="400" w:firstLine="0"/>
        <w:jc w:val="right"/>
        <w:outlineLvl w:val="9"/>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bookmarkStart w:id="93" w:name="_Toc27615"/>
      <w:r>
        <w:rPr>
          <w:rFonts w:hint="eastAsia" w:asciiTheme="minorEastAsia" w:hAnsiTheme="minorEastAsia" w:eastAsiaTheme="minorEastAsia" w:cstheme="minorEastAsia"/>
          <w:color w:val="000000"/>
          <w:spacing w:val="0"/>
          <w:w w:val="100"/>
          <w:position w:val="0"/>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color w:val="000000"/>
          <w:spacing w:val="0"/>
          <w:w w:val="100"/>
          <w:position w:val="0"/>
          <w:sz w:val="24"/>
          <w:szCs w:val="24"/>
        </w:rPr>
        <w:t>日</w:t>
      </w:r>
      <w:bookmarkEnd w:id="93"/>
    </w:p>
    <w:p w14:paraId="66F3FBC5">
      <w:pPr>
        <w:pStyle w:val="2"/>
        <w:rPr>
          <w:rFonts w:hint="eastAsia"/>
          <w:sz w:val="24"/>
          <w:szCs w:val="24"/>
          <w:lang w:val="en-US" w:eastAsia="zh-CN"/>
        </w:rPr>
      </w:pPr>
    </w:p>
    <w:p w14:paraId="1077BEAE">
      <w:pPr>
        <w:rPr>
          <w:rStyle w:val="97"/>
          <w:rFonts w:hint="eastAsia" w:cs="宋体"/>
          <w:b/>
          <w:bCs/>
          <w:color w:val="auto"/>
          <w:sz w:val="24"/>
          <w:szCs w:val="24"/>
          <w:highlight w:val="none"/>
          <w:lang w:val="en-US" w:eastAsia="zh-CN"/>
        </w:rPr>
      </w:pPr>
      <w:r>
        <w:rPr>
          <w:rStyle w:val="97"/>
          <w:rFonts w:hint="eastAsia" w:cs="宋体"/>
          <w:b/>
          <w:bCs/>
          <w:color w:val="auto"/>
          <w:sz w:val="24"/>
          <w:szCs w:val="24"/>
          <w:highlight w:val="none"/>
          <w:lang w:val="en-US" w:eastAsia="zh-CN"/>
        </w:rPr>
        <w:br w:type="page"/>
      </w:r>
    </w:p>
    <w:p w14:paraId="4FD4C0AE">
      <w:pPr>
        <w:pStyle w:val="118"/>
        <w:keepNext w:val="0"/>
        <w:keepLines w:val="0"/>
        <w:pageBreakBefore w:val="0"/>
        <w:widowControl w:val="0"/>
        <w:shd w:val="clear" w:color="auto" w:fill="auto"/>
        <w:tabs>
          <w:tab w:val="left" w:pos="1162"/>
          <w:tab w:val="left" w:pos="2314"/>
          <w:tab w:val="left" w:pos="3466"/>
        </w:tabs>
        <w:kinsoku/>
        <w:wordWrap/>
        <w:overflowPunct/>
        <w:topLinePunct w:val="0"/>
        <w:autoSpaceDE/>
        <w:autoSpaceDN/>
        <w:bidi w:val="0"/>
        <w:adjustRightInd/>
        <w:snapToGrid/>
        <w:spacing w:before="0" w:after="0" w:line="500" w:lineRule="exact"/>
        <w:ind w:left="0" w:leftChars="0" w:right="0" w:firstLine="0" w:firstLineChars="0"/>
        <w:jc w:val="center"/>
        <w:textAlignment w:val="baseline"/>
        <w:outlineLvl w:val="1"/>
        <w:rPr>
          <w:rFonts w:hint="eastAsia" w:asciiTheme="minorEastAsia" w:hAnsiTheme="minorEastAsia" w:eastAsiaTheme="minorEastAsia" w:cstheme="minorEastAsia"/>
          <w:sz w:val="24"/>
          <w:szCs w:val="24"/>
        </w:rPr>
      </w:pPr>
      <w:bookmarkStart w:id="94" w:name="_Toc24209"/>
      <w:bookmarkStart w:id="95" w:name="_Toc17061"/>
      <w:r>
        <w:rPr>
          <w:rFonts w:hint="eastAsia" w:asciiTheme="minorEastAsia" w:hAnsiTheme="minorEastAsia" w:eastAsiaTheme="minorEastAsia" w:cstheme="minorEastAsia"/>
          <w:b/>
          <w:bCs/>
          <w:color w:val="000000"/>
          <w:spacing w:val="0"/>
          <w:w w:val="100"/>
          <w:position w:val="0"/>
          <w:sz w:val="24"/>
          <w:szCs w:val="24"/>
          <w:lang w:val="en-US" w:eastAsia="zh-CN"/>
        </w:rPr>
        <w:t>四</w:t>
      </w:r>
      <w:r>
        <w:rPr>
          <w:rFonts w:hint="eastAsia" w:asciiTheme="minorEastAsia" w:hAnsiTheme="minorEastAsia" w:eastAsiaTheme="minorEastAsia" w:cstheme="minorEastAsia"/>
          <w:b/>
          <w:bCs/>
          <w:color w:val="000000"/>
          <w:spacing w:val="0"/>
          <w:w w:val="100"/>
          <w:position w:val="0"/>
          <w:sz w:val="24"/>
          <w:szCs w:val="24"/>
        </w:rPr>
        <w:t>、授权委托书</w:t>
      </w:r>
      <w:bookmarkEnd w:id="94"/>
      <w:bookmarkEnd w:id="95"/>
    </w:p>
    <w:p w14:paraId="0B04DD6F">
      <w:pPr>
        <w:pStyle w:val="118"/>
        <w:keepNext w:val="0"/>
        <w:keepLines w:val="0"/>
        <w:pageBreakBefore w:val="0"/>
        <w:widowControl w:val="0"/>
        <w:shd w:val="clear" w:color="auto" w:fill="auto"/>
        <w:tabs>
          <w:tab w:val="left" w:pos="1675"/>
          <w:tab w:val="left" w:pos="3422"/>
          <w:tab w:val="left" w:pos="7675"/>
        </w:tabs>
        <w:kinsoku/>
        <w:wordWrap/>
        <w:overflowPunct/>
        <w:topLinePunct w:val="0"/>
        <w:autoSpaceDE/>
        <w:autoSpaceDN/>
        <w:bidi w:val="0"/>
        <w:adjustRightInd/>
        <w:snapToGrid/>
        <w:spacing w:before="0" w:after="0" w:line="500" w:lineRule="exact"/>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（姓名）系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（供应商名称）的法定代表人，现委托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（姓名） 为我方代理人。代理人根据授权，以我方名义签署、澄清、说明、补正、递交、撤回、修改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（项目名称、采购编号）</w:t>
      </w:r>
      <w:r>
        <w:rPr>
          <w:rFonts w:hint="eastAsia" w:asciiTheme="minorEastAsia" w:hAnsiTheme="minorEastAsia" w:eastAsiaTheme="minorEastAsia" w:cstheme="minorEastAsia"/>
          <w:color w:val="000000"/>
          <w:spacing w:val="0"/>
          <w:w w:val="100"/>
          <w:position w:val="0"/>
          <w:sz w:val="24"/>
          <w:szCs w:val="24"/>
        </w:rPr>
        <w:t>竞争性磋商响应文件、签订合同和处理有关事宜，其法律后果由我方承担。</w:t>
      </w:r>
    </w:p>
    <w:p w14:paraId="1F030A27">
      <w:pPr>
        <w:pStyle w:val="1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本授权书至响应文件有效期结束前始终有效。</w:t>
      </w:r>
    </w:p>
    <w:p w14:paraId="04F54CAA">
      <w:pPr>
        <w:pStyle w:val="1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代理人无转委托权。</w:t>
      </w:r>
    </w:p>
    <w:p w14:paraId="543641A2">
      <w:pPr>
        <w:pStyle w:val="1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0"/>
          <w:w w:val="100"/>
          <w:position w:val="0"/>
          <w:sz w:val="24"/>
          <w:szCs w:val="24"/>
        </w:rPr>
        <w:t>附：法定代表人及授权委托人身份证明</w:t>
      </w:r>
    </w:p>
    <w:p w14:paraId="233D412B">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1B4BE685">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1E793549">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4F367151">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4FF18A57">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3B08AF6B">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7830F9BC">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5E67E9BE">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288E794A">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p>
    <w:p w14:paraId="76232CF5">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 xml:space="preserve">（盖单位公章） </w:t>
      </w:r>
    </w:p>
    <w:p w14:paraId="2D4CCD46">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 xml:space="preserve"> （签字或盖章） </w:t>
      </w:r>
    </w:p>
    <w:p w14:paraId="4A20ACD7">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p>
    <w:p w14:paraId="060AC513">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 xml:space="preserve">（签字或盖章） </w:t>
      </w:r>
    </w:p>
    <w:p w14:paraId="7ED903DC">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p>
    <w:p w14:paraId="4030279B">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日</w:t>
      </w:r>
    </w:p>
    <w:p w14:paraId="3916033D">
      <w:pPr>
        <w:rPr>
          <w:rStyle w:val="97"/>
          <w:rFonts w:hint="eastAsia" w:cs="宋体"/>
          <w:b/>
          <w:bCs/>
          <w:color w:val="auto"/>
          <w:sz w:val="24"/>
          <w:szCs w:val="24"/>
          <w:highlight w:val="none"/>
          <w:lang w:val="en-US" w:eastAsia="zh-CN"/>
        </w:rPr>
      </w:pPr>
    </w:p>
    <w:p w14:paraId="2992CBDD">
      <w:pPr>
        <w:rPr>
          <w:rStyle w:val="97"/>
          <w:rFonts w:hint="eastAsia" w:cs="宋体"/>
          <w:b/>
          <w:bCs/>
          <w:color w:val="auto"/>
          <w:sz w:val="24"/>
          <w:szCs w:val="24"/>
          <w:highlight w:val="none"/>
          <w:lang w:val="en-US" w:eastAsia="zh-CN"/>
        </w:rPr>
      </w:pPr>
      <w:r>
        <w:rPr>
          <w:rStyle w:val="97"/>
          <w:rFonts w:hint="eastAsia" w:cs="宋体"/>
          <w:b/>
          <w:bCs/>
          <w:color w:val="auto"/>
          <w:sz w:val="24"/>
          <w:szCs w:val="24"/>
          <w:highlight w:val="none"/>
          <w:lang w:val="en-US" w:eastAsia="zh-CN"/>
        </w:rPr>
        <w:br w:type="page"/>
      </w:r>
    </w:p>
    <w:p w14:paraId="3030D84D">
      <w:pPr>
        <w:pageBreakBefore w:val="0"/>
        <w:numPr>
          <w:ilvl w:val="0"/>
          <w:numId w:val="0"/>
        </w:numPr>
        <w:kinsoku/>
        <w:wordWrap/>
        <w:overflowPunct/>
        <w:autoSpaceDE/>
        <w:autoSpaceDN/>
        <w:bidi w:val="0"/>
        <w:spacing w:after="0" w:line="560" w:lineRule="exact"/>
        <w:jc w:val="center"/>
        <w:outlineLvl w:val="1"/>
        <w:rPr>
          <w:rStyle w:val="97"/>
          <w:b/>
          <w:color w:val="auto"/>
          <w:sz w:val="24"/>
          <w:szCs w:val="24"/>
          <w:highlight w:val="none"/>
        </w:rPr>
      </w:pPr>
      <w:bookmarkStart w:id="96" w:name="_Toc11611"/>
      <w:r>
        <w:rPr>
          <w:rStyle w:val="97"/>
          <w:rFonts w:hint="eastAsia"/>
          <w:b/>
          <w:color w:val="auto"/>
          <w:sz w:val="24"/>
          <w:szCs w:val="24"/>
          <w:highlight w:val="none"/>
          <w:lang w:val="en-US" w:eastAsia="zh-CN"/>
        </w:rPr>
        <w:t>五、</w:t>
      </w:r>
      <w:r>
        <w:rPr>
          <w:rStyle w:val="97"/>
          <w:rFonts w:hint="eastAsia"/>
          <w:b/>
          <w:color w:val="auto"/>
          <w:sz w:val="24"/>
          <w:szCs w:val="24"/>
          <w:highlight w:val="none"/>
        </w:rPr>
        <w:t>资格证明文件</w:t>
      </w:r>
      <w:bookmarkEnd w:id="96"/>
    </w:p>
    <w:p w14:paraId="5319E37B">
      <w:pPr>
        <w:pStyle w:val="8"/>
        <w:pageBreakBefore w:val="0"/>
        <w:widowControl/>
        <w:kinsoku/>
        <w:wordWrap/>
        <w:overflowPunct/>
        <w:topLinePunct w:val="0"/>
        <w:bidi w:val="0"/>
        <w:snapToGrid/>
        <w:spacing w:after="0" w:line="500" w:lineRule="exact"/>
        <w:jc w:val="center"/>
        <w:textAlignment w:val="baseline"/>
        <w:outlineLvl w:val="2"/>
        <w:rPr>
          <w:rFonts w:hint="eastAsia" w:ascii="宋体" w:hAnsi="宋体" w:eastAsia="宋体" w:cs="宋体"/>
          <w:sz w:val="24"/>
          <w:szCs w:val="24"/>
        </w:rPr>
      </w:pPr>
      <w:bookmarkStart w:id="97" w:name="_Toc9588"/>
      <w:bookmarkStart w:id="98" w:name="_Toc7058"/>
      <w:bookmarkStart w:id="99" w:name="_Toc14840"/>
      <w:r>
        <w:rPr>
          <w:rFonts w:hint="eastAsia" w:ascii="宋体" w:hAnsi="宋体" w:eastAsia="宋体" w:cs="宋体"/>
          <w:sz w:val="24"/>
          <w:szCs w:val="24"/>
        </w:rPr>
        <w:t>（一）</w:t>
      </w:r>
      <w:r>
        <w:rPr>
          <w:rFonts w:hint="eastAsia" w:ascii="宋体" w:hAnsi="宋体" w:eastAsia="宋体" w:cs="宋体"/>
          <w:sz w:val="24"/>
          <w:szCs w:val="24"/>
          <w:lang w:val="en-US" w:eastAsia="zh-CN"/>
        </w:rPr>
        <w:t>供应商</w:t>
      </w:r>
      <w:r>
        <w:rPr>
          <w:rFonts w:hint="eastAsia" w:ascii="宋体" w:hAnsi="宋体" w:eastAsia="宋体" w:cs="宋体"/>
          <w:sz w:val="24"/>
          <w:szCs w:val="24"/>
        </w:rPr>
        <w:t>基本情况表</w:t>
      </w:r>
      <w:bookmarkEnd w:id="97"/>
      <w:bookmarkEnd w:id="98"/>
      <w:bookmarkEnd w:id="99"/>
    </w:p>
    <w:p w14:paraId="3BBA0EF2">
      <w:pPr>
        <w:pageBreakBefore w:val="0"/>
        <w:widowControl/>
        <w:kinsoku/>
        <w:wordWrap/>
        <w:overflowPunct/>
        <w:topLinePunct w:val="0"/>
        <w:bidi w:val="0"/>
        <w:snapToGrid/>
        <w:spacing w:after="0" w:line="500" w:lineRule="exact"/>
        <w:jc w:val="center"/>
        <w:textAlignment w:val="baseline"/>
        <w:rPr>
          <w:rFonts w:hint="eastAsia" w:ascii="宋体" w:hAnsi="宋体" w:eastAsia="宋体" w:cs="宋体"/>
          <w:sz w:val="24"/>
          <w:szCs w:val="24"/>
        </w:rPr>
      </w:pPr>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114"/>
        <w:gridCol w:w="1339"/>
        <w:gridCol w:w="1342"/>
        <w:gridCol w:w="1340"/>
        <w:gridCol w:w="1340"/>
        <w:gridCol w:w="1342"/>
      </w:tblGrid>
      <w:tr w14:paraId="2912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62" w:type="dxa"/>
            <w:vAlign w:val="center"/>
          </w:tcPr>
          <w:p w14:paraId="0CC5D6EC">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供应商</w:t>
            </w:r>
          </w:p>
        </w:tc>
        <w:tc>
          <w:tcPr>
            <w:tcW w:w="7817" w:type="dxa"/>
            <w:gridSpan w:val="6"/>
            <w:vAlign w:val="center"/>
          </w:tcPr>
          <w:p w14:paraId="591B172E">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33BB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62" w:type="dxa"/>
            <w:vAlign w:val="center"/>
          </w:tcPr>
          <w:p w14:paraId="1C74C035">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795" w:type="dxa"/>
            <w:gridSpan w:val="3"/>
            <w:vAlign w:val="center"/>
          </w:tcPr>
          <w:p w14:paraId="5CAF52D9">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0" w:type="dxa"/>
            <w:vAlign w:val="center"/>
          </w:tcPr>
          <w:p w14:paraId="2204DF91">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682" w:type="dxa"/>
            <w:gridSpan w:val="2"/>
            <w:vAlign w:val="center"/>
          </w:tcPr>
          <w:p w14:paraId="4BE7C447">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17C4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562" w:type="dxa"/>
            <w:vMerge w:val="restart"/>
            <w:vAlign w:val="center"/>
          </w:tcPr>
          <w:p w14:paraId="05612FF7">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114" w:type="dxa"/>
            <w:vAlign w:val="center"/>
          </w:tcPr>
          <w:p w14:paraId="710C2CBA">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2681" w:type="dxa"/>
            <w:gridSpan w:val="2"/>
            <w:vAlign w:val="center"/>
          </w:tcPr>
          <w:p w14:paraId="129F6B37">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0" w:type="dxa"/>
            <w:vAlign w:val="center"/>
          </w:tcPr>
          <w:p w14:paraId="62204F21">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  话</w:t>
            </w:r>
          </w:p>
        </w:tc>
        <w:tc>
          <w:tcPr>
            <w:tcW w:w="2682" w:type="dxa"/>
            <w:gridSpan w:val="2"/>
            <w:vAlign w:val="center"/>
          </w:tcPr>
          <w:p w14:paraId="3E0A19BB">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5F57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562" w:type="dxa"/>
            <w:vMerge w:val="continue"/>
            <w:vAlign w:val="center"/>
          </w:tcPr>
          <w:p w14:paraId="6523632A">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114" w:type="dxa"/>
            <w:vAlign w:val="center"/>
          </w:tcPr>
          <w:p w14:paraId="2102EBDE">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2681" w:type="dxa"/>
            <w:gridSpan w:val="2"/>
            <w:vAlign w:val="center"/>
          </w:tcPr>
          <w:p w14:paraId="33E34121">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0" w:type="dxa"/>
            <w:vAlign w:val="center"/>
          </w:tcPr>
          <w:p w14:paraId="2CD43D39">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网  址</w:t>
            </w:r>
          </w:p>
        </w:tc>
        <w:tc>
          <w:tcPr>
            <w:tcW w:w="2682" w:type="dxa"/>
            <w:gridSpan w:val="2"/>
            <w:vAlign w:val="center"/>
          </w:tcPr>
          <w:p w14:paraId="14E576F9">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1BBA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62" w:type="dxa"/>
            <w:vAlign w:val="center"/>
          </w:tcPr>
          <w:p w14:paraId="602A86C9">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114" w:type="dxa"/>
            <w:vAlign w:val="center"/>
          </w:tcPr>
          <w:p w14:paraId="7E8B4363">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339" w:type="dxa"/>
            <w:vAlign w:val="center"/>
          </w:tcPr>
          <w:p w14:paraId="3D22995D">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2" w:type="dxa"/>
            <w:vAlign w:val="center"/>
          </w:tcPr>
          <w:p w14:paraId="266D3E14">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职  务</w:t>
            </w:r>
          </w:p>
        </w:tc>
        <w:tc>
          <w:tcPr>
            <w:tcW w:w="1340" w:type="dxa"/>
            <w:vAlign w:val="center"/>
          </w:tcPr>
          <w:p w14:paraId="60BEA2D4">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0" w:type="dxa"/>
            <w:vAlign w:val="center"/>
          </w:tcPr>
          <w:p w14:paraId="594467EF">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  话</w:t>
            </w:r>
          </w:p>
        </w:tc>
        <w:tc>
          <w:tcPr>
            <w:tcW w:w="1342" w:type="dxa"/>
            <w:vAlign w:val="center"/>
          </w:tcPr>
          <w:p w14:paraId="207905BE">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60FC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62" w:type="dxa"/>
            <w:vAlign w:val="center"/>
          </w:tcPr>
          <w:p w14:paraId="3411EC92">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授权委托人</w:t>
            </w:r>
          </w:p>
        </w:tc>
        <w:tc>
          <w:tcPr>
            <w:tcW w:w="1114" w:type="dxa"/>
            <w:vAlign w:val="center"/>
          </w:tcPr>
          <w:p w14:paraId="6E680823">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339" w:type="dxa"/>
            <w:vAlign w:val="center"/>
          </w:tcPr>
          <w:p w14:paraId="345F56F9">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2" w:type="dxa"/>
            <w:vAlign w:val="center"/>
          </w:tcPr>
          <w:p w14:paraId="7604DE35">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职  务</w:t>
            </w:r>
          </w:p>
        </w:tc>
        <w:tc>
          <w:tcPr>
            <w:tcW w:w="1340" w:type="dxa"/>
            <w:vAlign w:val="center"/>
          </w:tcPr>
          <w:p w14:paraId="3122881E">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1340" w:type="dxa"/>
            <w:vAlign w:val="center"/>
          </w:tcPr>
          <w:p w14:paraId="26E4033E">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  话</w:t>
            </w:r>
          </w:p>
        </w:tc>
        <w:tc>
          <w:tcPr>
            <w:tcW w:w="1342" w:type="dxa"/>
            <w:vAlign w:val="center"/>
          </w:tcPr>
          <w:p w14:paraId="1235A165">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0FBB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62" w:type="dxa"/>
            <w:vAlign w:val="center"/>
          </w:tcPr>
          <w:p w14:paraId="1A5639FA">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3795" w:type="dxa"/>
            <w:gridSpan w:val="3"/>
            <w:vAlign w:val="center"/>
          </w:tcPr>
          <w:p w14:paraId="417C1183">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c>
          <w:tcPr>
            <w:tcW w:w="4022" w:type="dxa"/>
            <w:gridSpan w:val="3"/>
            <w:vAlign w:val="center"/>
          </w:tcPr>
          <w:p w14:paraId="2AE883E6">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14:paraId="4480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1562" w:type="dxa"/>
            <w:vAlign w:val="center"/>
          </w:tcPr>
          <w:p w14:paraId="7ACE8F52">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开户银行及</w:t>
            </w:r>
          </w:p>
          <w:p w14:paraId="60B9A8F2">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7817" w:type="dxa"/>
            <w:gridSpan w:val="6"/>
            <w:vAlign w:val="center"/>
          </w:tcPr>
          <w:p w14:paraId="58D50CCA">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195E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562" w:type="dxa"/>
            <w:vAlign w:val="center"/>
          </w:tcPr>
          <w:p w14:paraId="43E2D768">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单位概况</w:t>
            </w:r>
          </w:p>
        </w:tc>
        <w:tc>
          <w:tcPr>
            <w:tcW w:w="7817" w:type="dxa"/>
            <w:gridSpan w:val="6"/>
            <w:vAlign w:val="center"/>
          </w:tcPr>
          <w:p w14:paraId="5E4257B3">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r w14:paraId="05E1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562" w:type="dxa"/>
            <w:vAlign w:val="center"/>
          </w:tcPr>
          <w:p w14:paraId="4362AC42">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817" w:type="dxa"/>
            <w:gridSpan w:val="6"/>
            <w:vAlign w:val="center"/>
          </w:tcPr>
          <w:p w14:paraId="3E46B460">
            <w:pPr>
              <w:pageBreakBefore w:val="0"/>
              <w:widowControl/>
              <w:kinsoku/>
              <w:wordWrap/>
              <w:overflowPunct/>
              <w:topLinePunct w:val="0"/>
              <w:autoSpaceDE w:val="0"/>
              <w:autoSpaceDN w:val="0"/>
              <w:bidi w:val="0"/>
              <w:adjustRightInd w:val="0"/>
              <w:snapToGrid/>
              <w:spacing w:after="0" w:line="500" w:lineRule="exact"/>
              <w:jc w:val="center"/>
              <w:textAlignment w:val="baseline"/>
              <w:rPr>
                <w:rFonts w:hint="eastAsia" w:ascii="宋体" w:hAnsi="宋体" w:eastAsia="宋体" w:cs="宋体"/>
                <w:kern w:val="0"/>
                <w:sz w:val="24"/>
                <w:szCs w:val="24"/>
              </w:rPr>
            </w:pPr>
          </w:p>
        </w:tc>
      </w:tr>
    </w:tbl>
    <w:p w14:paraId="01A95D7D">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 xml:space="preserve">（盖单位公章） </w:t>
      </w:r>
    </w:p>
    <w:p w14:paraId="2CCAFC2D">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rPr>
        <w:t>法定代表人</w:t>
      </w:r>
      <w:r>
        <w:rPr>
          <w:rFonts w:hint="eastAsia" w:asciiTheme="minorEastAsia" w:hAnsiTheme="minorEastAsia" w:eastAsiaTheme="minorEastAsia" w:cstheme="minorEastAsia"/>
          <w:color w:val="000000"/>
          <w:spacing w:val="0"/>
          <w:w w:val="100"/>
          <w:position w:val="0"/>
          <w:sz w:val="24"/>
          <w:szCs w:val="24"/>
          <w:lang w:val="en-US" w:eastAsia="zh-CN"/>
        </w:rPr>
        <w:t>或其授权委托人</w:t>
      </w:r>
      <w:r>
        <w:rPr>
          <w:rFonts w:hint="eastAsia" w:asciiTheme="minorEastAsia" w:hAnsiTheme="minorEastAsia" w:eastAsiaTheme="minorEastAsia" w:cstheme="minorEastAsia"/>
          <w:color w:val="000000"/>
          <w:spacing w:val="0"/>
          <w:w w:val="100"/>
          <w:position w:val="0"/>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 xml:space="preserve"> （签字或盖章） </w:t>
      </w:r>
    </w:p>
    <w:p w14:paraId="3F8240D8">
      <w:pPr>
        <w:pStyle w:val="118"/>
        <w:keepNext w:val="0"/>
        <w:keepLines w:val="0"/>
        <w:pageBreakBefore w:val="0"/>
        <w:widowControl w:val="0"/>
        <w:shd w:val="clear" w:color="auto" w:fill="auto"/>
        <w:tabs>
          <w:tab w:val="left" w:pos="4079"/>
          <w:tab w:val="left" w:pos="5025"/>
          <w:tab w:val="left" w:pos="5970"/>
          <w:tab w:val="left" w:pos="6705"/>
          <w:tab w:val="left" w:pos="6810"/>
          <w:tab w:val="left" w:pos="8174"/>
          <w:tab w:val="left" w:pos="8279"/>
        </w:tabs>
        <w:kinsoku/>
        <w:wordWrap/>
        <w:overflowPunct/>
        <w:topLinePunct w:val="0"/>
        <w:autoSpaceDE/>
        <w:autoSpaceDN/>
        <w:bidi w:val="0"/>
        <w:adjustRightInd/>
        <w:snapToGrid/>
        <w:spacing w:before="0" w:after="0" w:line="500" w:lineRule="exact"/>
        <w:ind w:left="0" w:leftChars="0" w:right="0" w:firstLine="3360" w:firstLineChars="1400"/>
        <w:jc w:val="left"/>
        <w:textAlignment w:val="baseline"/>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日</w:t>
      </w:r>
    </w:p>
    <w:p w14:paraId="5409880A">
      <w:pPr>
        <w:rPr>
          <w:rFonts w:hint="eastAsia"/>
          <w:b/>
          <w:bCs/>
          <w:color w:val="auto"/>
          <w:sz w:val="24"/>
          <w:szCs w:val="24"/>
          <w:highlight w:val="none"/>
        </w:rPr>
      </w:pPr>
      <w:r>
        <w:rPr>
          <w:rFonts w:hint="eastAsia"/>
          <w:b/>
          <w:bCs/>
          <w:color w:val="auto"/>
          <w:sz w:val="24"/>
          <w:szCs w:val="24"/>
          <w:highlight w:val="none"/>
        </w:rPr>
        <w:br w:type="page"/>
      </w:r>
    </w:p>
    <w:p w14:paraId="4FF70AC2">
      <w:pPr>
        <w:pageBreakBefore w:val="0"/>
        <w:kinsoku/>
        <w:wordWrap/>
        <w:overflowPunct/>
        <w:autoSpaceDE/>
        <w:autoSpaceDN/>
        <w:bidi w:val="0"/>
        <w:spacing w:after="0" w:line="560" w:lineRule="exact"/>
        <w:jc w:val="center"/>
        <w:outlineLvl w:val="2"/>
        <w:rPr>
          <w:rFonts w:cs="Times New Roman"/>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lang w:eastAsia="zh-CN"/>
        </w:rPr>
        <w:t>）</w:t>
      </w:r>
      <w:r>
        <w:rPr>
          <w:rFonts w:hint="eastAsia"/>
          <w:b/>
          <w:bCs/>
          <w:color w:val="auto"/>
          <w:sz w:val="24"/>
          <w:szCs w:val="24"/>
          <w:highlight w:val="none"/>
        </w:rPr>
        <w:t>资格承诺声明函</w:t>
      </w:r>
    </w:p>
    <w:p w14:paraId="6F4C0400">
      <w:pPr>
        <w:pageBreakBefore w:val="0"/>
        <w:kinsoku/>
        <w:wordWrap/>
        <w:overflowPunct/>
        <w:autoSpaceDE/>
        <w:autoSpaceDN/>
        <w:bidi w:val="0"/>
        <w:adjustRightInd w:val="0"/>
        <w:snapToGrid w:val="0"/>
        <w:spacing w:line="560" w:lineRule="exact"/>
        <w:contextualSpacing/>
        <w:rPr>
          <w:color w:val="auto"/>
          <w:sz w:val="24"/>
          <w:szCs w:val="24"/>
          <w:highlight w:val="none"/>
        </w:rPr>
      </w:pPr>
      <w:r>
        <w:rPr>
          <w:rFonts w:hint="eastAsia"/>
          <w:color w:val="auto"/>
          <w:sz w:val="24"/>
          <w:szCs w:val="24"/>
          <w:highlight w:val="none"/>
          <w:u w:val="single"/>
        </w:rPr>
        <w:t>致（本项目采购单位）</w:t>
      </w:r>
      <w:r>
        <w:rPr>
          <w:rFonts w:hint="eastAsia"/>
          <w:color w:val="auto"/>
          <w:sz w:val="24"/>
          <w:szCs w:val="24"/>
          <w:highlight w:val="none"/>
        </w:rPr>
        <w:t>：</w:t>
      </w:r>
    </w:p>
    <w:p w14:paraId="4C007B7F">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我单位自愿参加本次政府采购活动，严格遵守《中华人民共和国政府采购法》及相关法律法规，依法诚信经营，依法遵守本次政府采购活动的各项规定。我单位郑重承诺声明如下：</w:t>
      </w:r>
    </w:p>
    <w:p w14:paraId="4BE2F1C4">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一、我单位全称为</w:t>
      </w:r>
      <w:r>
        <w:rPr>
          <w:rFonts w:hint="eastAsia"/>
          <w:color w:val="auto"/>
          <w:sz w:val="24"/>
          <w:szCs w:val="24"/>
          <w:highlight w:val="none"/>
          <w:u w:val="single"/>
        </w:rPr>
        <w:t xml:space="preserve">         </w:t>
      </w:r>
      <w:r>
        <w:rPr>
          <w:rFonts w:hint="eastAsia"/>
          <w:color w:val="auto"/>
          <w:sz w:val="24"/>
          <w:szCs w:val="24"/>
          <w:highlight w:val="none"/>
        </w:rPr>
        <w:t>，注册地点为</w:t>
      </w:r>
      <w:r>
        <w:rPr>
          <w:rFonts w:hint="eastAsia"/>
          <w:color w:val="auto"/>
          <w:sz w:val="24"/>
          <w:szCs w:val="24"/>
          <w:highlight w:val="none"/>
          <w:u w:val="single"/>
        </w:rPr>
        <w:t xml:space="preserve">          </w:t>
      </w:r>
      <w:r>
        <w:rPr>
          <w:rFonts w:hint="eastAsia"/>
          <w:color w:val="auto"/>
          <w:sz w:val="24"/>
          <w:szCs w:val="24"/>
          <w:highlight w:val="none"/>
        </w:rPr>
        <w:t xml:space="preserve"> ，统一社会信用代码为</w:t>
      </w:r>
      <w:r>
        <w:rPr>
          <w:rFonts w:hint="eastAsia"/>
          <w:color w:val="auto"/>
          <w:sz w:val="24"/>
          <w:szCs w:val="24"/>
          <w:highlight w:val="none"/>
          <w:u w:val="single"/>
        </w:rPr>
        <w:t xml:space="preserve">             </w:t>
      </w:r>
      <w:r>
        <w:rPr>
          <w:rFonts w:hint="eastAsia"/>
          <w:color w:val="auto"/>
          <w:sz w:val="24"/>
          <w:szCs w:val="24"/>
          <w:highlight w:val="none"/>
        </w:rPr>
        <w:t>，法定代表人（单位负责人）为</w:t>
      </w:r>
      <w:r>
        <w:rPr>
          <w:rFonts w:hint="eastAsia"/>
          <w:color w:val="auto"/>
          <w:sz w:val="24"/>
          <w:szCs w:val="24"/>
          <w:highlight w:val="none"/>
          <w:u w:val="single"/>
        </w:rPr>
        <w:t xml:space="preserve">         </w:t>
      </w:r>
      <w:r>
        <w:rPr>
          <w:rFonts w:hint="eastAsia"/>
          <w:color w:val="auto"/>
          <w:sz w:val="24"/>
          <w:szCs w:val="24"/>
          <w:highlight w:val="none"/>
        </w:rPr>
        <w:t>，联系方式为</w:t>
      </w:r>
      <w:r>
        <w:rPr>
          <w:rFonts w:hint="eastAsia"/>
          <w:color w:val="auto"/>
          <w:sz w:val="24"/>
          <w:szCs w:val="24"/>
          <w:highlight w:val="none"/>
          <w:u w:val="single"/>
        </w:rPr>
        <w:t xml:space="preserve">              </w:t>
      </w:r>
      <w:r>
        <w:rPr>
          <w:rFonts w:hint="eastAsia"/>
          <w:color w:val="auto"/>
          <w:sz w:val="24"/>
          <w:szCs w:val="24"/>
          <w:highlight w:val="none"/>
        </w:rPr>
        <w:t>。</w:t>
      </w:r>
    </w:p>
    <w:p w14:paraId="0FA147D0">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二、我单位具有独立承担民事责任的能力。</w:t>
      </w:r>
    </w:p>
    <w:p w14:paraId="74B131D1">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三、我单位具有良好的商业信誉和健全的财务会计制度。</w:t>
      </w:r>
    </w:p>
    <w:p w14:paraId="4A162156">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四、我单位具有履行合同所必需的设备和专业技术能力。</w:t>
      </w:r>
    </w:p>
    <w:p w14:paraId="35B9FE3C">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五、我单位有依法缴纳税收和社会保障资金的良好记录。</w:t>
      </w:r>
    </w:p>
    <w:p w14:paraId="65A63AF8">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62844D1B">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七、我单位具备法律、行政法规规定的其他条件。</w:t>
      </w:r>
    </w:p>
    <w:p w14:paraId="743C51CA">
      <w:pPr>
        <w:pageBreakBefore w:val="0"/>
        <w:kinsoku/>
        <w:wordWrap/>
        <w:overflowPunct/>
        <w:autoSpaceDE/>
        <w:autoSpaceDN/>
        <w:bidi w:val="0"/>
        <w:adjustRightInd w:val="0"/>
        <w:snapToGrid w:val="0"/>
        <w:spacing w:line="560" w:lineRule="exact"/>
        <w:ind w:firstLine="480" w:firstLineChars="200"/>
        <w:contextualSpacing/>
        <w:rPr>
          <w:color w:val="auto"/>
          <w:sz w:val="24"/>
          <w:szCs w:val="24"/>
          <w:highlight w:val="none"/>
        </w:rPr>
      </w:pPr>
      <w:r>
        <w:rPr>
          <w:rFonts w:hint="eastAsia"/>
          <w:color w:val="auto"/>
          <w:sz w:val="24"/>
          <w:szCs w:val="24"/>
          <w:highlight w:val="none"/>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420D10C2">
      <w:pPr>
        <w:pageBreakBefore w:val="0"/>
        <w:kinsoku/>
        <w:wordWrap/>
        <w:overflowPunct/>
        <w:autoSpaceDE/>
        <w:autoSpaceDN/>
        <w:bidi w:val="0"/>
        <w:adjustRightInd w:val="0"/>
        <w:snapToGrid w:val="0"/>
        <w:spacing w:line="560" w:lineRule="exact"/>
        <w:contextualSpacing/>
        <w:jc w:val="left"/>
        <w:rPr>
          <w:color w:val="auto"/>
          <w:sz w:val="24"/>
          <w:szCs w:val="24"/>
          <w:highlight w:val="none"/>
        </w:rPr>
      </w:pPr>
    </w:p>
    <w:p w14:paraId="2EA266BC">
      <w:pPr>
        <w:pageBreakBefore w:val="0"/>
        <w:kinsoku/>
        <w:wordWrap/>
        <w:overflowPunct/>
        <w:autoSpaceDE/>
        <w:autoSpaceDN/>
        <w:bidi w:val="0"/>
        <w:adjustRightInd w:val="0"/>
        <w:snapToGrid w:val="0"/>
        <w:spacing w:line="560" w:lineRule="exact"/>
        <w:ind w:firstLine="4320" w:firstLineChars="1800"/>
        <w:contextualSpacing/>
        <w:jc w:val="left"/>
        <w:rPr>
          <w:color w:val="auto"/>
          <w:sz w:val="24"/>
          <w:szCs w:val="24"/>
          <w:highlight w:val="none"/>
        </w:rPr>
      </w:pPr>
      <w:r>
        <w:rPr>
          <w:rFonts w:hint="eastAsia"/>
          <w:color w:val="auto"/>
          <w:sz w:val="24"/>
          <w:szCs w:val="24"/>
          <w:highlight w:val="none"/>
        </w:rPr>
        <w:t>承诺单位（企业电子签章）：</w:t>
      </w:r>
    </w:p>
    <w:p w14:paraId="20795937">
      <w:pPr>
        <w:pageBreakBefore w:val="0"/>
        <w:kinsoku/>
        <w:wordWrap/>
        <w:overflowPunct/>
        <w:autoSpaceDE/>
        <w:autoSpaceDN/>
        <w:bidi w:val="0"/>
        <w:adjustRightInd w:val="0"/>
        <w:snapToGrid w:val="0"/>
        <w:spacing w:line="560" w:lineRule="exact"/>
        <w:ind w:firstLine="4320" w:firstLineChars="1800"/>
        <w:contextualSpacing/>
        <w:jc w:val="left"/>
        <w:rPr>
          <w:color w:val="auto"/>
          <w:sz w:val="24"/>
          <w:szCs w:val="24"/>
          <w:highlight w:val="none"/>
        </w:rPr>
      </w:pPr>
      <w:r>
        <w:rPr>
          <w:rFonts w:hint="eastAsia"/>
          <w:color w:val="auto"/>
          <w:sz w:val="24"/>
          <w:szCs w:val="24"/>
          <w:highlight w:val="none"/>
        </w:rPr>
        <w:t>法定代表人或授权代表（签名或电子签章）：</w:t>
      </w:r>
    </w:p>
    <w:p w14:paraId="3ED5DE54">
      <w:pPr>
        <w:pageBreakBefore w:val="0"/>
        <w:kinsoku/>
        <w:wordWrap/>
        <w:overflowPunct/>
        <w:autoSpaceDE/>
        <w:autoSpaceDN/>
        <w:bidi w:val="0"/>
        <w:adjustRightInd w:val="0"/>
        <w:snapToGrid w:val="0"/>
        <w:spacing w:line="560" w:lineRule="exact"/>
        <w:ind w:firstLine="4320" w:firstLineChars="1800"/>
        <w:contextualSpacing/>
        <w:jc w:val="left"/>
        <w:rPr>
          <w:color w:val="auto"/>
          <w:sz w:val="24"/>
          <w:szCs w:val="24"/>
          <w:highlight w:val="none"/>
        </w:rPr>
      </w:pPr>
      <w:r>
        <w:rPr>
          <w:rFonts w:hint="eastAsia"/>
          <w:color w:val="auto"/>
          <w:sz w:val="24"/>
          <w:szCs w:val="24"/>
          <w:highlight w:val="none"/>
        </w:rPr>
        <w:t>日期：    年   月   日</w:t>
      </w:r>
    </w:p>
    <w:p w14:paraId="706D7B9B">
      <w:pPr>
        <w:pageBreakBefore w:val="0"/>
        <w:kinsoku/>
        <w:wordWrap/>
        <w:overflowPunct/>
        <w:autoSpaceDE/>
        <w:autoSpaceDN/>
        <w:bidi w:val="0"/>
        <w:spacing w:after="0" w:line="560" w:lineRule="exact"/>
        <w:ind w:firstLine="482" w:firstLineChars="200"/>
        <w:jc w:val="left"/>
        <w:rPr>
          <w:rStyle w:val="97"/>
          <w:b/>
          <w:bCs/>
          <w:color w:val="auto"/>
          <w:sz w:val="24"/>
          <w:szCs w:val="24"/>
          <w:highlight w:val="none"/>
        </w:rPr>
      </w:pPr>
    </w:p>
    <w:p w14:paraId="515DFAA1">
      <w:pPr>
        <w:rPr>
          <w:rStyle w:val="97"/>
          <w:rFonts w:hint="eastAsia"/>
          <w:color w:val="auto"/>
          <w:sz w:val="24"/>
          <w:szCs w:val="24"/>
          <w:highlight w:val="none"/>
          <w:lang w:eastAsia="zh-CN"/>
        </w:rPr>
      </w:pPr>
      <w:r>
        <w:rPr>
          <w:rStyle w:val="97"/>
          <w:rFonts w:hint="eastAsia"/>
          <w:color w:val="auto"/>
          <w:sz w:val="24"/>
          <w:szCs w:val="24"/>
          <w:highlight w:val="none"/>
          <w:lang w:eastAsia="zh-CN"/>
        </w:rPr>
        <w:br w:type="page"/>
      </w:r>
    </w:p>
    <w:p w14:paraId="2EC7B531">
      <w:pPr>
        <w:pStyle w:val="56"/>
        <w:pageBreakBefore w:val="0"/>
        <w:kinsoku/>
        <w:wordWrap/>
        <w:overflowPunct/>
        <w:autoSpaceDE/>
        <w:autoSpaceDN/>
        <w:bidi w:val="0"/>
        <w:spacing w:after="0" w:line="560" w:lineRule="exact"/>
        <w:jc w:val="center"/>
        <w:outlineLvl w:val="2"/>
        <w:rPr>
          <w:rStyle w:val="97"/>
          <w:rFonts w:hint="default"/>
          <w:b/>
          <w:bCs/>
          <w:color w:val="auto"/>
          <w:sz w:val="24"/>
          <w:szCs w:val="24"/>
          <w:highlight w:val="none"/>
          <w:lang w:val="en-US" w:eastAsia="zh-CN"/>
        </w:rPr>
      </w:pPr>
      <w:r>
        <w:rPr>
          <w:rStyle w:val="97"/>
          <w:rFonts w:hint="eastAsia"/>
          <w:b/>
          <w:bCs/>
          <w:color w:val="auto"/>
          <w:sz w:val="24"/>
          <w:szCs w:val="24"/>
          <w:highlight w:val="none"/>
          <w:lang w:eastAsia="zh-CN"/>
        </w:rPr>
        <w:t>（</w:t>
      </w:r>
      <w:r>
        <w:rPr>
          <w:rStyle w:val="97"/>
          <w:rFonts w:hint="eastAsia"/>
          <w:b/>
          <w:bCs/>
          <w:color w:val="auto"/>
          <w:sz w:val="24"/>
          <w:szCs w:val="24"/>
          <w:highlight w:val="none"/>
          <w:lang w:val="en-US" w:eastAsia="zh-CN"/>
        </w:rPr>
        <w:t>三</w:t>
      </w:r>
      <w:r>
        <w:rPr>
          <w:rStyle w:val="97"/>
          <w:rFonts w:hint="eastAsia"/>
          <w:b/>
          <w:bCs/>
          <w:color w:val="auto"/>
          <w:sz w:val="24"/>
          <w:szCs w:val="24"/>
          <w:highlight w:val="none"/>
          <w:lang w:eastAsia="zh-CN"/>
        </w:rPr>
        <w:t>）</w:t>
      </w:r>
      <w:r>
        <w:rPr>
          <w:rStyle w:val="97"/>
          <w:rFonts w:hint="eastAsia"/>
          <w:b/>
          <w:bCs/>
          <w:color w:val="auto"/>
          <w:sz w:val="24"/>
          <w:szCs w:val="24"/>
          <w:highlight w:val="none"/>
          <w:lang w:val="en-US" w:eastAsia="zh-CN"/>
        </w:rPr>
        <w:t>信用记录</w:t>
      </w:r>
    </w:p>
    <w:p w14:paraId="4263D796">
      <w:pPr>
        <w:rPr>
          <w:rStyle w:val="97"/>
          <w:b/>
          <w:color w:val="auto"/>
          <w:sz w:val="24"/>
          <w:szCs w:val="24"/>
          <w:highlight w:val="none"/>
        </w:rPr>
      </w:pPr>
      <w:r>
        <w:rPr>
          <w:rStyle w:val="97"/>
          <w:b/>
          <w:color w:val="auto"/>
          <w:sz w:val="24"/>
          <w:szCs w:val="24"/>
          <w:highlight w:val="none"/>
        </w:rPr>
        <w:br w:type="page"/>
      </w:r>
    </w:p>
    <w:p w14:paraId="10B7EF3D">
      <w:pPr>
        <w:pageBreakBefore w:val="0"/>
        <w:kinsoku/>
        <w:wordWrap/>
        <w:overflowPunct/>
        <w:autoSpaceDE/>
        <w:autoSpaceDN/>
        <w:bidi w:val="0"/>
        <w:spacing w:after="0" w:line="560" w:lineRule="exact"/>
        <w:jc w:val="center"/>
        <w:outlineLvl w:val="2"/>
        <w:rPr>
          <w:rStyle w:val="97"/>
          <w:rFonts w:cs="宋体"/>
          <w:bCs/>
          <w:color w:val="auto"/>
          <w:sz w:val="24"/>
          <w:szCs w:val="24"/>
          <w:highlight w:val="none"/>
        </w:rPr>
      </w:pPr>
      <w:r>
        <w:rPr>
          <w:rStyle w:val="97"/>
          <w:rFonts w:hint="eastAsia"/>
          <w:b/>
          <w:color w:val="auto"/>
          <w:sz w:val="24"/>
          <w:szCs w:val="24"/>
          <w:highlight w:val="none"/>
          <w:lang w:eastAsia="zh-CN"/>
        </w:rPr>
        <w:t>（</w:t>
      </w:r>
      <w:r>
        <w:rPr>
          <w:rStyle w:val="97"/>
          <w:rFonts w:hint="eastAsia"/>
          <w:b/>
          <w:color w:val="auto"/>
          <w:sz w:val="24"/>
          <w:szCs w:val="24"/>
          <w:highlight w:val="none"/>
          <w:lang w:val="en-US" w:eastAsia="zh-CN"/>
        </w:rPr>
        <w:t>四</w:t>
      </w:r>
      <w:r>
        <w:rPr>
          <w:rStyle w:val="97"/>
          <w:rFonts w:hint="eastAsia"/>
          <w:b/>
          <w:color w:val="auto"/>
          <w:sz w:val="24"/>
          <w:szCs w:val="24"/>
          <w:highlight w:val="none"/>
          <w:lang w:eastAsia="zh-CN"/>
        </w:rPr>
        <w:t>）</w:t>
      </w:r>
      <w:r>
        <w:rPr>
          <w:rStyle w:val="97"/>
          <w:rFonts w:hint="eastAsia"/>
          <w:b/>
          <w:color w:val="auto"/>
          <w:sz w:val="24"/>
          <w:szCs w:val="24"/>
          <w:highlight w:val="none"/>
        </w:rPr>
        <w:t>投标承诺函</w:t>
      </w:r>
    </w:p>
    <w:p w14:paraId="02B8508A">
      <w:pPr>
        <w:pageBreakBefore w:val="0"/>
        <w:kinsoku/>
        <w:wordWrap/>
        <w:overflowPunct/>
        <w:autoSpaceDE/>
        <w:autoSpaceDN/>
        <w:bidi w:val="0"/>
        <w:spacing w:after="0" w:line="560" w:lineRule="exact"/>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致（采购人及采购代理机构）：</w:t>
      </w:r>
    </w:p>
    <w:p w14:paraId="04948394">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我公司作为本次采购项目的</w:t>
      </w:r>
      <w:r>
        <w:rPr>
          <w:rStyle w:val="97"/>
          <w:rFonts w:hint="eastAsia" w:ascii="Times New Roman" w:hAnsi="Times New Roman" w:cs="Times New Roman"/>
          <w:color w:val="auto"/>
          <w:sz w:val="24"/>
          <w:szCs w:val="24"/>
          <w:highlight w:val="none"/>
          <w:lang w:val="en-US" w:eastAsia="zh-CN"/>
        </w:rPr>
        <w:t>供应商</w:t>
      </w:r>
      <w:r>
        <w:rPr>
          <w:rStyle w:val="97"/>
          <w:rFonts w:hint="eastAsia" w:ascii="Times New Roman" w:hAnsi="Times New Roman" w:cs="Times New Roman"/>
          <w:color w:val="auto"/>
          <w:sz w:val="24"/>
          <w:szCs w:val="24"/>
          <w:highlight w:val="none"/>
        </w:rPr>
        <w:t>，根据</w:t>
      </w:r>
      <w:r>
        <w:rPr>
          <w:rStyle w:val="97"/>
          <w:rFonts w:hint="eastAsia" w:ascii="Times New Roman" w:hAnsi="Times New Roman" w:cs="Times New Roman"/>
          <w:color w:val="auto"/>
          <w:sz w:val="24"/>
          <w:szCs w:val="24"/>
          <w:highlight w:val="none"/>
          <w:lang w:val="en-US" w:eastAsia="zh-CN"/>
        </w:rPr>
        <w:t>竞争性磋商文件</w:t>
      </w:r>
      <w:r>
        <w:rPr>
          <w:rStyle w:val="97"/>
          <w:rFonts w:hint="eastAsia" w:ascii="Times New Roman" w:hAnsi="Times New Roman" w:cs="Times New Roman"/>
          <w:color w:val="auto"/>
          <w:sz w:val="24"/>
          <w:szCs w:val="24"/>
          <w:highlight w:val="none"/>
        </w:rPr>
        <w:t>要求，现郑重承诺如下：</w:t>
      </w:r>
    </w:p>
    <w:p w14:paraId="709A0F56">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一、参加本次招标采购活动，不存在和其他供应商在同一合同项下的采购项目中，同时委托同一个自然人、同一家庭的人员、同一单位的人员作为代理人的行为。</w:t>
      </w:r>
    </w:p>
    <w:p w14:paraId="64B2106D">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二、我公司提供的所有文件材料，均是真实的。</w:t>
      </w:r>
    </w:p>
    <w:p w14:paraId="3449D998">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三、存在以下行为之一的愿意接受相关部门的处理：</w:t>
      </w:r>
    </w:p>
    <w:p w14:paraId="60246E37">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（一）投标有效期内撤销投标文件的；</w:t>
      </w:r>
    </w:p>
    <w:p w14:paraId="7060CB60">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（二）在采购人确定中标人以前放弃中标候选资格的；</w:t>
      </w:r>
    </w:p>
    <w:p w14:paraId="075C72F2">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（三）由于中标人的原因未能按照</w:t>
      </w:r>
      <w:r>
        <w:rPr>
          <w:rStyle w:val="97"/>
          <w:rFonts w:hint="eastAsia" w:ascii="Times New Roman" w:hAnsi="Times New Roman" w:cs="Times New Roman"/>
          <w:color w:val="auto"/>
          <w:sz w:val="24"/>
          <w:szCs w:val="24"/>
          <w:highlight w:val="none"/>
          <w:lang w:val="en-US" w:eastAsia="zh-CN"/>
        </w:rPr>
        <w:t>竞争性磋商文件</w:t>
      </w:r>
      <w:r>
        <w:rPr>
          <w:rStyle w:val="97"/>
          <w:rFonts w:hint="eastAsia" w:ascii="Times New Roman" w:hAnsi="Times New Roman" w:cs="Times New Roman"/>
          <w:color w:val="auto"/>
          <w:sz w:val="24"/>
          <w:szCs w:val="24"/>
          <w:highlight w:val="none"/>
        </w:rPr>
        <w:t>的规定与采购人签订合同；</w:t>
      </w:r>
    </w:p>
    <w:p w14:paraId="06C2A4AA">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（四）由于中标人的原因未能按照</w:t>
      </w:r>
      <w:r>
        <w:rPr>
          <w:rStyle w:val="97"/>
          <w:rFonts w:hint="eastAsia" w:ascii="Times New Roman" w:hAnsi="Times New Roman" w:cs="Times New Roman"/>
          <w:color w:val="auto"/>
          <w:sz w:val="24"/>
          <w:szCs w:val="24"/>
          <w:highlight w:val="none"/>
          <w:lang w:val="en-US" w:eastAsia="zh-CN"/>
        </w:rPr>
        <w:t>竞争性磋商文件</w:t>
      </w:r>
      <w:r>
        <w:rPr>
          <w:rStyle w:val="97"/>
          <w:rFonts w:hint="eastAsia" w:ascii="Times New Roman" w:hAnsi="Times New Roman" w:cs="Times New Roman"/>
          <w:color w:val="auto"/>
          <w:sz w:val="24"/>
          <w:szCs w:val="24"/>
          <w:highlight w:val="none"/>
        </w:rPr>
        <w:t>的规定交纳履约保证金；</w:t>
      </w:r>
    </w:p>
    <w:p w14:paraId="726B40A1">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（五）在</w:t>
      </w:r>
      <w:r>
        <w:rPr>
          <w:rStyle w:val="97"/>
          <w:rFonts w:hint="eastAsia" w:ascii="Times New Roman" w:hAnsi="Times New Roman" w:cs="Times New Roman"/>
          <w:color w:val="auto"/>
          <w:sz w:val="24"/>
          <w:szCs w:val="24"/>
          <w:highlight w:val="none"/>
          <w:lang w:val="en-US" w:eastAsia="zh-CN"/>
        </w:rPr>
        <w:t>响应</w:t>
      </w:r>
      <w:r>
        <w:rPr>
          <w:rStyle w:val="97"/>
          <w:rFonts w:hint="eastAsia" w:ascii="Times New Roman" w:hAnsi="Times New Roman" w:cs="Times New Roman"/>
          <w:color w:val="auto"/>
          <w:sz w:val="24"/>
          <w:szCs w:val="24"/>
          <w:highlight w:val="none"/>
        </w:rPr>
        <w:t>文件中提供虚假材料谋取中标；</w:t>
      </w:r>
    </w:p>
    <w:p w14:paraId="2D1A9EE8">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（六）与采购人、其他供应商或者采购代理机构恶意串通的；</w:t>
      </w:r>
    </w:p>
    <w:p w14:paraId="5A40581A">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（七）</w:t>
      </w:r>
      <w:r>
        <w:rPr>
          <w:rStyle w:val="97"/>
          <w:rFonts w:hint="eastAsia" w:ascii="Times New Roman" w:hAnsi="Times New Roman" w:cs="Times New Roman"/>
          <w:color w:val="auto"/>
          <w:sz w:val="24"/>
          <w:szCs w:val="24"/>
          <w:highlight w:val="none"/>
          <w:lang w:val="en-US" w:eastAsia="zh-CN"/>
        </w:rPr>
        <w:t>磋商</w:t>
      </w:r>
      <w:r>
        <w:rPr>
          <w:rStyle w:val="97"/>
          <w:rFonts w:hint="eastAsia" w:ascii="Times New Roman" w:hAnsi="Times New Roman" w:cs="Times New Roman"/>
          <w:color w:val="auto"/>
          <w:sz w:val="24"/>
          <w:szCs w:val="24"/>
          <w:highlight w:val="none"/>
        </w:rPr>
        <w:t>有效期内，响应人在政府采购活动中有违法、违规、违纪行为。</w:t>
      </w:r>
    </w:p>
    <w:p w14:paraId="645E92D5">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eastAsia="宋体" w:cs="Times New Roman"/>
          <w:color w:val="auto"/>
          <w:sz w:val="24"/>
          <w:szCs w:val="24"/>
          <w:highlight w:val="none"/>
          <w:lang w:val="en-US" w:eastAsia="zh-CN"/>
        </w:rPr>
      </w:pPr>
      <w:r>
        <w:rPr>
          <w:rStyle w:val="97"/>
          <w:rFonts w:hint="eastAsia" w:ascii="Times New Roman" w:hAnsi="Times New Roman" w:cs="Times New Roman"/>
          <w:color w:val="auto"/>
          <w:sz w:val="24"/>
          <w:szCs w:val="24"/>
          <w:highlight w:val="none"/>
          <w:lang w:val="en-US" w:eastAsia="zh-CN"/>
        </w:rPr>
        <w:t>四、如果我公司中标，我公司将严格按照竞争性磋商文件的要求和响应文件的承诺，在规定时间内签订合同并履行合同。</w:t>
      </w:r>
    </w:p>
    <w:p w14:paraId="0D11110C">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本公司对上述承诺的内容事项真实性负责。如经查实上述承诺的内容事项存在虚假，我公司愿意接受以提供虚假材料谋取中标追究法律责任。</w:t>
      </w:r>
    </w:p>
    <w:p w14:paraId="0F1D9B6E">
      <w:pPr>
        <w:pageBreakBefore w:val="0"/>
        <w:kinsoku/>
        <w:wordWrap/>
        <w:overflowPunct/>
        <w:autoSpaceDE/>
        <w:autoSpaceDN/>
        <w:bidi w:val="0"/>
        <w:spacing w:after="0" w:line="560" w:lineRule="exact"/>
        <w:ind w:firstLine="480" w:firstLineChars="200"/>
        <w:jc w:val="left"/>
        <w:rPr>
          <w:rStyle w:val="97"/>
          <w:rFonts w:hint="eastAsia"/>
          <w:color w:val="auto"/>
          <w:sz w:val="24"/>
          <w:szCs w:val="24"/>
          <w:highlight w:val="none"/>
          <w:lang w:val="en-US" w:eastAsia="zh-CN"/>
        </w:rPr>
      </w:pPr>
    </w:p>
    <w:p w14:paraId="0C0EC747">
      <w:pPr>
        <w:pageBreakBefore w:val="0"/>
        <w:kinsoku/>
        <w:wordWrap/>
        <w:overflowPunct/>
        <w:autoSpaceDE/>
        <w:autoSpaceDN/>
        <w:bidi w:val="0"/>
        <w:spacing w:after="0" w:line="560" w:lineRule="exact"/>
        <w:ind w:left="0" w:leftChars="0" w:firstLine="2239" w:firstLineChars="933"/>
        <w:jc w:val="left"/>
        <w:rPr>
          <w:rStyle w:val="97"/>
          <w:rFonts w:hint="default" w:eastAsia="宋体"/>
          <w:color w:val="auto"/>
          <w:sz w:val="24"/>
          <w:szCs w:val="24"/>
          <w:highlight w:val="none"/>
          <w:u w:val="single"/>
          <w:lang w:val="en-US" w:eastAsia="zh-CN"/>
        </w:rPr>
      </w:pPr>
      <w:r>
        <w:rPr>
          <w:rStyle w:val="97"/>
          <w:rFonts w:hint="eastAsia"/>
          <w:color w:val="auto"/>
          <w:sz w:val="24"/>
          <w:szCs w:val="24"/>
          <w:highlight w:val="none"/>
          <w:lang w:val="en-US" w:eastAsia="zh-CN"/>
        </w:rPr>
        <w:t>供应商</w:t>
      </w:r>
      <w:r>
        <w:rPr>
          <w:rStyle w:val="97"/>
          <w:rFonts w:hint="eastAsia"/>
          <w:color w:val="auto"/>
          <w:sz w:val="24"/>
          <w:szCs w:val="24"/>
          <w:highlight w:val="none"/>
        </w:rPr>
        <w:t>（企业电子签章或盖章）：</w:t>
      </w:r>
      <w:r>
        <w:rPr>
          <w:rStyle w:val="97"/>
          <w:rFonts w:hint="eastAsia"/>
          <w:color w:val="auto"/>
          <w:sz w:val="24"/>
          <w:szCs w:val="24"/>
          <w:highlight w:val="none"/>
          <w:u w:val="single"/>
          <w:lang w:val="en-US" w:eastAsia="zh-CN"/>
        </w:rPr>
        <w:t xml:space="preserve">                        </w:t>
      </w:r>
    </w:p>
    <w:p w14:paraId="1A3F4648">
      <w:pPr>
        <w:pageBreakBefore w:val="0"/>
        <w:kinsoku/>
        <w:wordWrap/>
        <w:overflowPunct/>
        <w:autoSpaceDE/>
        <w:autoSpaceDN/>
        <w:bidi w:val="0"/>
        <w:spacing w:after="0" w:line="560" w:lineRule="exact"/>
        <w:ind w:left="0" w:leftChars="0" w:firstLine="2239" w:firstLineChars="933"/>
        <w:jc w:val="left"/>
        <w:rPr>
          <w:rStyle w:val="97"/>
          <w:rFonts w:hint="default" w:eastAsia="宋体"/>
          <w:color w:val="auto"/>
          <w:sz w:val="24"/>
          <w:szCs w:val="24"/>
          <w:highlight w:val="none"/>
          <w:u w:val="single"/>
          <w:lang w:val="en-US" w:eastAsia="zh-CN"/>
        </w:rPr>
      </w:pPr>
      <w:r>
        <w:rPr>
          <w:rStyle w:val="97"/>
          <w:rFonts w:hint="eastAsia"/>
          <w:color w:val="auto"/>
          <w:sz w:val="24"/>
          <w:szCs w:val="24"/>
          <w:highlight w:val="none"/>
        </w:rPr>
        <w:t>法定代表人</w:t>
      </w:r>
      <w:r>
        <w:rPr>
          <w:rStyle w:val="97"/>
          <w:rFonts w:hint="eastAsia"/>
          <w:color w:val="auto"/>
          <w:sz w:val="24"/>
          <w:szCs w:val="24"/>
          <w:highlight w:val="none"/>
          <w:lang w:val="en-US" w:eastAsia="zh-CN"/>
        </w:rPr>
        <w:t>或其授权委托人</w:t>
      </w:r>
      <w:r>
        <w:rPr>
          <w:rStyle w:val="97"/>
          <w:rFonts w:hint="eastAsia"/>
          <w:color w:val="auto"/>
          <w:sz w:val="24"/>
          <w:szCs w:val="24"/>
          <w:highlight w:val="none"/>
        </w:rPr>
        <w:t>（个人电子签章或盖章或签字）：</w:t>
      </w:r>
      <w:r>
        <w:rPr>
          <w:rStyle w:val="97"/>
          <w:rFonts w:hint="eastAsia"/>
          <w:color w:val="auto"/>
          <w:sz w:val="24"/>
          <w:szCs w:val="24"/>
          <w:highlight w:val="none"/>
          <w:u w:val="single"/>
          <w:lang w:val="en-US" w:eastAsia="zh-CN"/>
        </w:rPr>
        <w:t xml:space="preserve">   </w:t>
      </w:r>
    </w:p>
    <w:p w14:paraId="432B528F">
      <w:pPr>
        <w:pageBreakBefore w:val="0"/>
        <w:kinsoku/>
        <w:wordWrap/>
        <w:overflowPunct/>
        <w:autoSpaceDE/>
        <w:autoSpaceDN/>
        <w:bidi w:val="0"/>
        <w:spacing w:after="0" w:line="560" w:lineRule="exact"/>
        <w:ind w:left="0" w:leftChars="0" w:firstLine="2239" w:firstLineChars="933"/>
        <w:jc w:val="left"/>
        <w:rPr>
          <w:rStyle w:val="97"/>
          <w:color w:val="auto"/>
          <w:sz w:val="24"/>
          <w:szCs w:val="24"/>
          <w:highlight w:val="none"/>
        </w:rPr>
      </w:pP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年</w:t>
      </w: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月</w:t>
      </w: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日</w:t>
      </w:r>
    </w:p>
    <w:p w14:paraId="7E16A0E6">
      <w:pPr>
        <w:rPr>
          <w:rStyle w:val="97"/>
          <w:color w:val="auto"/>
          <w:sz w:val="24"/>
          <w:szCs w:val="24"/>
          <w:highlight w:val="none"/>
        </w:rPr>
      </w:pPr>
      <w:r>
        <w:rPr>
          <w:rStyle w:val="97"/>
          <w:color w:val="auto"/>
          <w:sz w:val="24"/>
          <w:szCs w:val="24"/>
          <w:highlight w:val="none"/>
        </w:rPr>
        <w:br w:type="page"/>
      </w:r>
    </w:p>
    <w:p w14:paraId="401E1AAA">
      <w:pPr>
        <w:pStyle w:val="60"/>
        <w:pageBreakBefore w:val="0"/>
        <w:kinsoku/>
        <w:wordWrap/>
        <w:overflowPunct/>
        <w:autoSpaceDE/>
        <w:autoSpaceDN/>
        <w:bidi w:val="0"/>
        <w:spacing w:after="0" w:line="560" w:lineRule="exact"/>
        <w:jc w:val="center"/>
        <w:outlineLvl w:val="2"/>
        <w:rPr>
          <w:rStyle w:val="97"/>
          <w:color w:val="auto"/>
          <w:sz w:val="24"/>
          <w:szCs w:val="24"/>
          <w:highlight w:val="none"/>
        </w:rPr>
      </w:pPr>
      <w:r>
        <w:rPr>
          <w:rStyle w:val="97"/>
          <w:rFonts w:hint="eastAsia"/>
          <w:color w:val="auto"/>
          <w:sz w:val="24"/>
          <w:szCs w:val="24"/>
          <w:highlight w:val="none"/>
          <w:lang w:eastAsia="zh-CN"/>
        </w:rPr>
        <w:t>（</w:t>
      </w:r>
      <w:r>
        <w:rPr>
          <w:rStyle w:val="97"/>
          <w:rFonts w:hint="eastAsia"/>
          <w:color w:val="auto"/>
          <w:sz w:val="24"/>
          <w:szCs w:val="24"/>
          <w:highlight w:val="none"/>
          <w:lang w:val="en-US" w:eastAsia="zh-CN"/>
        </w:rPr>
        <w:t>五</w:t>
      </w:r>
      <w:r>
        <w:rPr>
          <w:rStyle w:val="97"/>
          <w:rFonts w:hint="eastAsia"/>
          <w:color w:val="auto"/>
          <w:sz w:val="24"/>
          <w:szCs w:val="24"/>
          <w:highlight w:val="none"/>
          <w:lang w:eastAsia="zh-CN"/>
        </w:rPr>
        <w:t>）</w:t>
      </w:r>
      <w:r>
        <w:rPr>
          <w:rStyle w:val="97"/>
          <w:rFonts w:hint="eastAsia"/>
          <w:color w:val="auto"/>
          <w:sz w:val="24"/>
          <w:szCs w:val="24"/>
          <w:highlight w:val="none"/>
        </w:rPr>
        <w:t>招标代理服务费承诺函</w:t>
      </w:r>
    </w:p>
    <w:p w14:paraId="169E0057">
      <w:pPr>
        <w:pageBreakBefore w:val="0"/>
        <w:kinsoku/>
        <w:wordWrap/>
        <w:overflowPunct/>
        <w:autoSpaceDE/>
        <w:autoSpaceDN/>
        <w:bidi w:val="0"/>
        <w:spacing w:after="0" w:line="560" w:lineRule="exact"/>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致（采购人及采购代理机构）：</w:t>
      </w:r>
    </w:p>
    <w:p w14:paraId="647E4D26">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我们在贵公司组织的（项目名称：，采购编号：）招标中若获中标，我们保证在成交公告发布后5个工作日内，按竞争性磋商文件的规定，以银行转账或现金，向贵公司一次性支付招标代理服务费用。否则，由此产生的一切法律后果和责任由我公司承担。我公司声明放弃对此提出任何异议和追索的权利。</w:t>
      </w:r>
    </w:p>
    <w:p w14:paraId="1DF45FD9">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cs="Times New Roman"/>
          <w:color w:val="auto"/>
          <w:sz w:val="24"/>
          <w:szCs w:val="24"/>
          <w:highlight w:val="none"/>
        </w:rPr>
      </w:pPr>
      <w:r>
        <w:rPr>
          <w:rStyle w:val="97"/>
          <w:rFonts w:hint="eastAsia" w:ascii="Times New Roman" w:hAnsi="Times New Roman" w:cs="Times New Roman"/>
          <w:color w:val="auto"/>
          <w:sz w:val="24"/>
          <w:szCs w:val="24"/>
          <w:highlight w:val="none"/>
        </w:rPr>
        <w:t>特此承诺。</w:t>
      </w:r>
    </w:p>
    <w:p w14:paraId="785B59FF">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eastAsia="宋体" w:cs="Times New Roman"/>
          <w:color w:val="auto"/>
          <w:sz w:val="24"/>
          <w:szCs w:val="24"/>
          <w:highlight w:val="none"/>
          <w:lang w:eastAsia="zh-CN"/>
        </w:rPr>
      </w:pPr>
    </w:p>
    <w:p w14:paraId="117BC21A">
      <w:pPr>
        <w:pageBreakBefore w:val="0"/>
        <w:kinsoku/>
        <w:wordWrap/>
        <w:overflowPunct/>
        <w:autoSpaceDE/>
        <w:autoSpaceDN/>
        <w:bidi w:val="0"/>
        <w:spacing w:after="0" w:line="560" w:lineRule="exact"/>
        <w:ind w:firstLine="480" w:firstLineChars="200"/>
        <w:jc w:val="left"/>
        <w:rPr>
          <w:rStyle w:val="97"/>
          <w:rFonts w:hint="eastAsia" w:ascii="Times New Roman" w:hAnsi="Times New Roman" w:eastAsia="宋体" w:cs="Times New Roman"/>
          <w:color w:val="auto"/>
          <w:sz w:val="24"/>
          <w:szCs w:val="24"/>
          <w:highlight w:val="none"/>
          <w:lang w:eastAsia="zh-CN"/>
        </w:rPr>
      </w:pPr>
    </w:p>
    <w:p w14:paraId="7AC2C173">
      <w:pPr>
        <w:pageBreakBefore w:val="0"/>
        <w:kinsoku/>
        <w:wordWrap/>
        <w:overflowPunct/>
        <w:autoSpaceDE/>
        <w:autoSpaceDN/>
        <w:bidi w:val="0"/>
        <w:spacing w:after="0" w:line="560" w:lineRule="exact"/>
        <w:ind w:left="0" w:leftChars="0" w:firstLine="2239" w:firstLineChars="933"/>
        <w:jc w:val="left"/>
        <w:rPr>
          <w:rStyle w:val="97"/>
          <w:rFonts w:hint="default" w:eastAsia="宋体"/>
          <w:color w:val="auto"/>
          <w:sz w:val="24"/>
          <w:szCs w:val="24"/>
          <w:highlight w:val="none"/>
          <w:u w:val="single"/>
          <w:lang w:val="en-US" w:eastAsia="zh-CN"/>
        </w:rPr>
      </w:pPr>
      <w:r>
        <w:rPr>
          <w:rStyle w:val="97"/>
          <w:rFonts w:hint="eastAsia"/>
          <w:color w:val="auto"/>
          <w:sz w:val="24"/>
          <w:szCs w:val="24"/>
          <w:highlight w:val="none"/>
          <w:lang w:val="en-US" w:eastAsia="zh-CN"/>
        </w:rPr>
        <w:t>供应商</w:t>
      </w:r>
      <w:r>
        <w:rPr>
          <w:rStyle w:val="97"/>
          <w:rFonts w:hint="eastAsia"/>
          <w:color w:val="auto"/>
          <w:sz w:val="24"/>
          <w:szCs w:val="24"/>
          <w:highlight w:val="none"/>
        </w:rPr>
        <w:t>（企业电子签章或盖章）：</w:t>
      </w:r>
      <w:r>
        <w:rPr>
          <w:rStyle w:val="97"/>
          <w:rFonts w:hint="eastAsia"/>
          <w:color w:val="auto"/>
          <w:sz w:val="24"/>
          <w:szCs w:val="24"/>
          <w:highlight w:val="none"/>
          <w:u w:val="single"/>
          <w:lang w:val="en-US" w:eastAsia="zh-CN"/>
        </w:rPr>
        <w:t xml:space="preserve">                        </w:t>
      </w:r>
    </w:p>
    <w:p w14:paraId="2DB73592">
      <w:pPr>
        <w:pageBreakBefore w:val="0"/>
        <w:kinsoku/>
        <w:wordWrap/>
        <w:overflowPunct/>
        <w:autoSpaceDE/>
        <w:autoSpaceDN/>
        <w:bidi w:val="0"/>
        <w:spacing w:after="0" w:line="560" w:lineRule="exact"/>
        <w:ind w:left="0" w:leftChars="0" w:firstLine="2239" w:firstLineChars="933"/>
        <w:jc w:val="left"/>
        <w:rPr>
          <w:rStyle w:val="97"/>
          <w:rFonts w:hint="default" w:eastAsia="宋体"/>
          <w:color w:val="auto"/>
          <w:sz w:val="24"/>
          <w:szCs w:val="24"/>
          <w:highlight w:val="none"/>
          <w:u w:val="single"/>
          <w:lang w:val="en-US" w:eastAsia="zh-CN"/>
        </w:rPr>
      </w:pPr>
      <w:r>
        <w:rPr>
          <w:rStyle w:val="97"/>
          <w:rFonts w:hint="eastAsia"/>
          <w:color w:val="auto"/>
          <w:sz w:val="24"/>
          <w:szCs w:val="24"/>
          <w:highlight w:val="none"/>
        </w:rPr>
        <w:t>法定代表人</w:t>
      </w:r>
      <w:r>
        <w:rPr>
          <w:rStyle w:val="97"/>
          <w:rFonts w:hint="eastAsia"/>
          <w:color w:val="auto"/>
          <w:sz w:val="24"/>
          <w:szCs w:val="24"/>
          <w:highlight w:val="none"/>
          <w:lang w:val="en-US" w:eastAsia="zh-CN"/>
        </w:rPr>
        <w:t>或其授权委托人</w:t>
      </w:r>
      <w:r>
        <w:rPr>
          <w:rStyle w:val="97"/>
          <w:rFonts w:hint="eastAsia"/>
          <w:color w:val="auto"/>
          <w:sz w:val="24"/>
          <w:szCs w:val="24"/>
          <w:highlight w:val="none"/>
        </w:rPr>
        <w:t>（个人电子签章或盖章或签字）：</w:t>
      </w:r>
      <w:r>
        <w:rPr>
          <w:rStyle w:val="97"/>
          <w:rFonts w:hint="eastAsia"/>
          <w:color w:val="auto"/>
          <w:sz w:val="24"/>
          <w:szCs w:val="24"/>
          <w:highlight w:val="none"/>
          <w:u w:val="single"/>
          <w:lang w:val="en-US" w:eastAsia="zh-CN"/>
        </w:rPr>
        <w:t xml:space="preserve">   </w:t>
      </w:r>
    </w:p>
    <w:p w14:paraId="696B10E9">
      <w:pPr>
        <w:pageBreakBefore w:val="0"/>
        <w:kinsoku/>
        <w:wordWrap/>
        <w:overflowPunct/>
        <w:autoSpaceDE/>
        <w:autoSpaceDN/>
        <w:bidi w:val="0"/>
        <w:spacing w:after="0" w:line="560" w:lineRule="exact"/>
        <w:ind w:left="0" w:leftChars="0" w:firstLine="2239" w:firstLineChars="933"/>
        <w:jc w:val="left"/>
        <w:rPr>
          <w:rStyle w:val="97"/>
          <w:color w:val="auto"/>
          <w:sz w:val="24"/>
          <w:szCs w:val="24"/>
          <w:highlight w:val="none"/>
        </w:rPr>
      </w:pP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年</w:t>
      </w: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月</w:t>
      </w: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日</w:t>
      </w:r>
    </w:p>
    <w:p w14:paraId="48AFE149">
      <w:pPr>
        <w:rPr>
          <w:rStyle w:val="97"/>
          <w:color w:val="auto"/>
          <w:sz w:val="24"/>
          <w:szCs w:val="24"/>
          <w:highlight w:val="none"/>
        </w:rPr>
      </w:pPr>
      <w:r>
        <w:rPr>
          <w:rStyle w:val="97"/>
          <w:color w:val="auto"/>
          <w:sz w:val="24"/>
          <w:szCs w:val="24"/>
          <w:highlight w:val="none"/>
        </w:rPr>
        <w:br w:type="page"/>
      </w:r>
    </w:p>
    <w:p w14:paraId="2AE0F483">
      <w:pPr>
        <w:pStyle w:val="60"/>
        <w:pageBreakBefore w:val="0"/>
        <w:widowControl/>
        <w:kinsoku/>
        <w:wordWrap/>
        <w:overflowPunct/>
        <w:topLinePunct w:val="0"/>
        <w:autoSpaceDE/>
        <w:autoSpaceDN/>
        <w:bidi w:val="0"/>
        <w:adjustRightInd/>
        <w:snapToGrid/>
        <w:spacing w:after="0" w:line="500" w:lineRule="exact"/>
        <w:jc w:val="center"/>
        <w:textAlignment w:val="baseline"/>
        <w:outlineLvl w:val="2"/>
        <w:rPr>
          <w:rStyle w:val="97"/>
          <w:color w:val="auto"/>
          <w:sz w:val="24"/>
          <w:szCs w:val="24"/>
          <w:highlight w:val="none"/>
        </w:rPr>
      </w:pPr>
      <w:r>
        <w:rPr>
          <w:rStyle w:val="97"/>
          <w:rFonts w:hint="eastAsia"/>
          <w:color w:val="auto"/>
          <w:sz w:val="24"/>
          <w:szCs w:val="24"/>
          <w:highlight w:val="none"/>
          <w:lang w:eastAsia="zh-CN"/>
        </w:rPr>
        <w:t>（</w:t>
      </w:r>
      <w:r>
        <w:rPr>
          <w:rStyle w:val="97"/>
          <w:rFonts w:hint="eastAsia"/>
          <w:color w:val="auto"/>
          <w:sz w:val="24"/>
          <w:szCs w:val="24"/>
          <w:highlight w:val="none"/>
          <w:lang w:val="en-US" w:eastAsia="zh-CN"/>
        </w:rPr>
        <w:t>六</w:t>
      </w:r>
      <w:r>
        <w:rPr>
          <w:rStyle w:val="97"/>
          <w:rFonts w:hint="eastAsia"/>
          <w:color w:val="auto"/>
          <w:sz w:val="24"/>
          <w:szCs w:val="24"/>
          <w:highlight w:val="none"/>
          <w:lang w:eastAsia="zh-CN"/>
        </w:rPr>
        <w:t>）</w:t>
      </w:r>
      <w:r>
        <w:rPr>
          <w:rStyle w:val="97"/>
          <w:rFonts w:hint="eastAsia"/>
          <w:color w:val="auto"/>
          <w:sz w:val="24"/>
          <w:szCs w:val="24"/>
          <w:highlight w:val="none"/>
        </w:rPr>
        <w:t>响应人反商业贿赂承诺书</w:t>
      </w:r>
    </w:p>
    <w:p w14:paraId="604D6F90">
      <w:pPr>
        <w:pageBreakBefore w:val="0"/>
        <w:widowControl/>
        <w:kinsoku/>
        <w:wordWrap/>
        <w:overflowPunct/>
        <w:topLinePunct w:val="0"/>
        <w:autoSpaceDE/>
        <w:autoSpaceDN/>
        <w:bidi w:val="0"/>
        <w:adjustRightInd/>
        <w:snapToGrid/>
        <w:spacing w:after="0" w:line="500" w:lineRule="exact"/>
        <w:jc w:val="left"/>
        <w:textAlignment w:val="baseline"/>
        <w:rPr>
          <w:rStyle w:val="97"/>
          <w:color w:val="auto"/>
          <w:sz w:val="24"/>
          <w:szCs w:val="24"/>
          <w:highlight w:val="none"/>
        </w:rPr>
      </w:pPr>
      <w:r>
        <w:rPr>
          <w:rStyle w:val="97"/>
          <w:rFonts w:hint="eastAsia"/>
          <w:color w:val="auto"/>
          <w:sz w:val="24"/>
          <w:szCs w:val="24"/>
          <w:highlight w:val="none"/>
        </w:rPr>
        <w:t>我公司承诺：</w:t>
      </w:r>
    </w:p>
    <w:p w14:paraId="46EE1719">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r>
        <w:rPr>
          <w:rStyle w:val="97"/>
          <w:rFonts w:hint="eastAsia"/>
          <w:color w:val="auto"/>
          <w:sz w:val="24"/>
          <w:szCs w:val="24"/>
          <w:highlight w:val="none"/>
        </w:rPr>
        <w:t>在</w:t>
      </w:r>
      <w:r>
        <w:rPr>
          <w:rStyle w:val="97"/>
          <w:rFonts w:hint="eastAsia"/>
          <w:color w:val="auto"/>
          <w:sz w:val="24"/>
          <w:szCs w:val="24"/>
          <w:highlight w:val="none"/>
          <w:u w:val="single"/>
          <w:lang w:eastAsia="zh-CN"/>
        </w:rPr>
        <w:t>郑州市自然资源和规划局高新分局不动产登记和房地产交易中心档案整理项目</w:t>
      </w:r>
      <w:r>
        <w:rPr>
          <w:rStyle w:val="97"/>
          <w:rFonts w:hint="eastAsia"/>
          <w:color w:val="auto"/>
          <w:sz w:val="24"/>
          <w:szCs w:val="24"/>
          <w:highlight w:val="none"/>
        </w:rPr>
        <w:t>招标活动中，我公司保证做到：</w:t>
      </w:r>
    </w:p>
    <w:p w14:paraId="5FABC29D">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r>
        <w:rPr>
          <w:rStyle w:val="97"/>
          <w:rFonts w:hint="eastAsia"/>
          <w:color w:val="auto"/>
          <w:sz w:val="24"/>
          <w:szCs w:val="24"/>
          <w:highlight w:val="none"/>
        </w:rPr>
        <w:t>一、公平竞争参加本次招标活动。</w:t>
      </w:r>
    </w:p>
    <w:p w14:paraId="1DAE3158">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r>
        <w:rPr>
          <w:rStyle w:val="97"/>
          <w:rFonts w:hint="eastAsia"/>
          <w:color w:val="auto"/>
          <w:sz w:val="24"/>
          <w:szCs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54FA089">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r>
        <w:rPr>
          <w:rStyle w:val="97"/>
          <w:rFonts w:hint="eastAsia"/>
          <w:color w:val="auto"/>
          <w:sz w:val="24"/>
          <w:szCs w:val="24"/>
          <w:highlight w:val="none"/>
        </w:rPr>
        <w:t>三、若出现上述行为，我公司及参与投标的工作人员愿意接受按照国家法律法规等有关规定给予的处罚。</w:t>
      </w:r>
    </w:p>
    <w:p w14:paraId="1898CDB8">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p>
    <w:p w14:paraId="1CAB7AD5">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p>
    <w:p w14:paraId="024171D3">
      <w:pPr>
        <w:pageBreakBefore w:val="0"/>
        <w:widowControl/>
        <w:kinsoku/>
        <w:wordWrap/>
        <w:overflowPunct/>
        <w:topLinePunct w:val="0"/>
        <w:autoSpaceDE/>
        <w:autoSpaceDN/>
        <w:bidi w:val="0"/>
        <w:adjustRightInd/>
        <w:snapToGrid/>
        <w:spacing w:after="0" w:line="500" w:lineRule="exact"/>
        <w:ind w:firstLine="480" w:firstLineChars="200"/>
        <w:jc w:val="left"/>
        <w:textAlignment w:val="baseline"/>
        <w:rPr>
          <w:rStyle w:val="97"/>
          <w:color w:val="auto"/>
          <w:sz w:val="24"/>
          <w:szCs w:val="24"/>
          <w:highlight w:val="none"/>
        </w:rPr>
      </w:pPr>
    </w:p>
    <w:p w14:paraId="6084F62B">
      <w:pPr>
        <w:pageBreakBefore w:val="0"/>
        <w:widowControl/>
        <w:kinsoku/>
        <w:wordWrap/>
        <w:overflowPunct/>
        <w:topLinePunct w:val="0"/>
        <w:autoSpaceDE/>
        <w:autoSpaceDN/>
        <w:bidi w:val="0"/>
        <w:adjustRightInd/>
        <w:snapToGrid/>
        <w:spacing w:after="0" w:line="500" w:lineRule="exact"/>
        <w:ind w:left="0" w:leftChars="0" w:firstLine="1958" w:firstLineChars="816"/>
        <w:jc w:val="left"/>
        <w:textAlignment w:val="baseline"/>
        <w:rPr>
          <w:rStyle w:val="97"/>
          <w:rFonts w:hint="default" w:eastAsia="宋体"/>
          <w:color w:val="auto"/>
          <w:sz w:val="24"/>
          <w:szCs w:val="24"/>
          <w:highlight w:val="none"/>
          <w:u w:val="single"/>
          <w:lang w:val="en-US" w:eastAsia="zh-CN"/>
        </w:rPr>
      </w:pPr>
      <w:r>
        <w:rPr>
          <w:rStyle w:val="97"/>
          <w:rFonts w:hint="eastAsia"/>
          <w:color w:val="auto"/>
          <w:sz w:val="24"/>
          <w:szCs w:val="24"/>
          <w:highlight w:val="none"/>
          <w:lang w:val="en-US" w:eastAsia="zh-CN"/>
        </w:rPr>
        <w:t>供应商</w:t>
      </w:r>
      <w:r>
        <w:rPr>
          <w:rStyle w:val="97"/>
          <w:rFonts w:hint="eastAsia"/>
          <w:color w:val="auto"/>
          <w:sz w:val="24"/>
          <w:szCs w:val="24"/>
          <w:highlight w:val="none"/>
        </w:rPr>
        <w:t>（企业电子签章或盖章）：</w:t>
      </w:r>
      <w:r>
        <w:rPr>
          <w:rStyle w:val="97"/>
          <w:rFonts w:hint="eastAsia"/>
          <w:color w:val="auto"/>
          <w:sz w:val="24"/>
          <w:szCs w:val="24"/>
          <w:highlight w:val="none"/>
          <w:u w:val="single"/>
          <w:lang w:val="en-US" w:eastAsia="zh-CN"/>
        </w:rPr>
        <w:t xml:space="preserve">                             </w:t>
      </w:r>
    </w:p>
    <w:p w14:paraId="72B4BF26">
      <w:pPr>
        <w:pageBreakBefore w:val="0"/>
        <w:widowControl/>
        <w:kinsoku/>
        <w:wordWrap/>
        <w:overflowPunct/>
        <w:topLinePunct w:val="0"/>
        <w:autoSpaceDE/>
        <w:autoSpaceDN/>
        <w:bidi w:val="0"/>
        <w:adjustRightInd/>
        <w:snapToGrid/>
        <w:spacing w:after="0" w:line="500" w:lineRule="exact"/>
        <w:ind w:left="0" w:leftChars="0" w:firstLine="1958" w:firstLineChars="816"/>
        <w:jc w:val="left"/>
        <w:textAlignment w:val="baseline"/>
        <w:rPr>
          <w:rStyle w:val="97"/>
          <w:rFonts w:hint="default" w:eastAsia="宋体"/>
          <w:color w:val="auto"/>
          <w:sz w:val="24"/>
          <w:szCs w:val="24"/>
          <w:highlight w:val="none"/>
          <w:u w:val="single"/>
          <w:lang w:val="en-US" w:eastAsia="zh-CN"/>
        </w:rPr>
      </w:pPr>
      <w:r>
        <w:rPr>
          <w:rStyle w:val="97"/>
          <w:rFonts w:hint="eastAsia"/>
          <w:color w:val="auto"/>
          <w:sz w:val="24"/>
          <w:szCs w:val="24"/>
          <w:highlight w:val="none"/>
        </w:rPr>
        <w:t>法定代表人</w:t>
      </w:r>
      <w:r>
        <w:rPr>
          <w:rStyle w:val="97"/>
          <w:rFonts w:hint="eastAsia"/>
          <w:color w:val="auto"/>
          <w:sz w:val="24"/>
          <w:szCs w:val="24"/>
          <w:highlight w:val="none"/>
          <w:lang w:val="en-US" w:eastAsia="zh-CN"/>
        </w:rPr>
        <w:t>或其授权委托人</w:t>
      </w:r>
      <w:r>
        <w:rPr>
          <w:rStyle w:val="97"/>
          <w:rFonts w:hint="eastAsia"/>
          <w:color w:val="auto"/>
          <w:sz w:val="24"/>
          <w:szCs w:val="24"/>
          <w:highlight w:val="none"/>
        </w:rPr>
        <w:t>（个人电子签章或盖章或签字）：</w:t>
      </w:r>
      <w:r>
        <w:rPr>
          <w:rStyle w:val="97"/>
          <w:rFonts w:hint="eastAsia"/>
          <w:color w:val="auto"/>
          <w:sz w:val="24"/>
          <w:szCs w:val="24"/>
          <w:highlight w:val="none"/>
          <w:u w:val="single"/>
          <w:lang w:val="en-US" w:eastAsia="zh-CN"/>
        </w:rPr>
        <w:t xml:space="preserve">      </w:t>
      </w:r>
    </w:p>
    <w:p w14:paraId="6D6B9A2C">
      <w:pPr>
        <w:pageBreakBefore w:val="0"/>
        <w:widowControl/>
        <w:kinsoku/>
        <w:wordWrap/>
        <w:overflowPunct/>
        <w:topLinePunct w:val="0"/>
        <w:autoSpaceDE/>
        <w:autoSpaceDN/>
        <w:bidi w:val="0"/>
        <w:adjustRightInd/>
        <w:snapToGrid/>
        <w:spacing w:after="0" w:line="500" w:lineRule="exact"/>
        <w:ind w:left="0" w:leftChars="0" w:firstLine="1958" w:firstLineChars="816"/>
        <w:jc w:val="right"/>
        <w:textAlignment w:val="baseline"/>
        <w:rPr>
          <w:rStyle w:val="97"/>
          <w:color w:val="auto"/>
          <w:sz w:val="24"/>
          <w:szCs w:val="24"/>
          <w:highlight w:val="none"/>
        </w:rPr>
      </w:pP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年</w:t>
      </w: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月</w:t>
      </w:r>
      <w:r>
        <w:rPr>
          <w:rStyle w:val="97"/>
          <w:rFonts w:hint="eastAsia"/>
          <w:color w:val="auto"/>
          <w:sz w:val="24"/>
          <w:szCs w:val="24"/>
          <w:highlight w:val="none"/>
          <w:u w:val="single"/>
          <w:lang w:val="en-US" w:eastAsia="zh-CN"/>
        </w:rPr>
        <w:t xml:space="preserve">      </w:t>
      </w:r>
      <w:r>
        <w:rPr>
          <w:rStyle w:val="97"/>
          <w:rFonts w:hint="eastAsia"/>
          <w:color w:val="auto"/>
          <w:sz w:val="24"/>
          <w:szCs w:val="24"/>
          <w:highlight w:val="none"/>
        </w:rPr>
        <w:t>日</w:t>
      </w:r>
    </w:p>
    <w:p w14:paraId="77C7A744">
      <w:pPr>
        <w:pageBreakBefore w:val="0"/>
        <w:kinsoku/>
        <w:wordWrap/>
        <w:overflowPunct/>
        <w:autoSpaceDE/>
        <w:autoSpaceDN/>
        <w:bidi w:val="0"/>
        <w:spacing w:after="0" w:line="560" w:lineRule="exact"/>
        <w:jc w:val="center"/>
        <w:outlineLvl w:val="2"/>
        <w:rPr>
          <w:rStyle w:val="97"/>
          <w:b/>
          <w:color w:val="auto"/>
          <w:sz w:val="24"/>
          <w:szCs w:val="24"/>
          <w:highlight w:val="none"/>
        </w:rPr>
      </w:pPr>
      <w:r>
        <w:rPr>
          <w:rStyle w:val="97"/>
          <w:b/>
          <w:color w:val="auto"/>
          <w:sz w:val="24"/>
          <w:szCs w:val="24"/>
          <w:highlight w:val="none"/>
        </w:rPr>
        <w:br w:type="page"/>
      </w:r>
      <w:r>
        <w:rPr>
          <w:rStyle w:val="97"/>
          <w:rFonts w:hint="eastAsia"/>
          <w:b/>
          <w:color w:val="auto"/>
          <w:sz w:val="24"/>
          <w:szCs w:val="24"/>
          <w:highlight w:val="none"/>
          <w:lang w:eastAsia="zh-CN"/>
        </w:rPr>
        <w:t>（</w:t>
      </w:r>
      <w:r>
        <w:rPr>
          <w:rStyle w:val="97"/>
          <w:rFonts w:hint="eastAsia"/>
          <w:b/>
          <w:color w:val="auto"/>
          <w:sz w:val="24"/>
          <w:szCs w:val="24"/>
          <w:highlight w:val="none"/>
          <w:lang w:val="en-US" w:eastAsia="zh-CN"/>
        </w:rPr>
        <w:t>七</w:t>
      </w:r>
      <w:r>
        <w:rPr>
          <w:rStyle w:val="97"/>
          <w:rFonts w:hint="eastAsia"/>
          <w:b/>
          <w:color w:val="auto"/>
          <w:sz w:val="24"/>
          <w:szCs w:val="24"/>
          <w:highlight w:val="none"/>
          <w:lang w:eastAsia="zh-CN"/>
        </w:rPr>
        <w:t>）</w:t>
      </w:r>
      <w:r>
        <w:rPr>
          <w:rStyle w:val="97"/>
          <w:rFonts w:hint="eastAsia"/>
          <w:b/>
          <w:color w:val="auto"/>
          <w:sz w:val="24"/>
          <w:szCs w:val="24"/>
          <w:highlight w:val="none"/>
          <w:lang w:val="en-US" w:eastAsia="zh-CN"/>
        </w:rPr>
        <w:t>磋商文件</w:t>
      </w:r>
      <w:r>
        <w:rPr>
          <w:rStyle w:val="97"/>
          <w:rFonts w:hint="eastAsia"/>
          <w:b/>
          <w:color w:val="auto"/>
          <w:sz w:val="24"/>
          <w:szCs w:val="24"/>
          <w:highlight w:val="none"/>
        </w:rPr>
        <w:t>要求提供的其他资格证明文件或响应人认为有必要提供的其他证明文件</w:t>
      </w:r>
    </w:p>
    <w:p w14:paraId="6ACB19DB">
      <w:pPr>
        <w:pStyle w:val="62"/>
        <w:pageBreakBefore w:val="0"/>
        <w:kinsoku/>
        <w:wordWrap/>
        <w:overflowPunct/>
        <w:autoSpaceDE/>
        <w:autoSpaceDN/>
        <w:bidi w:val="0"/>
        <w:spacing w:after="0" w:line="560" w:lineRule="exact"/>
        <w:rPr>
          <w:rStyle w:val="97"/>
          <w:b/>
          <w:color w:val="auto"/>
          <w:sz w:val="24"/>
          <w:szCs w:val="24"/>
          <w:highlight w:val="none"/>
        </w:rPr>
      </w:pPr>
    </w:p>
    <w:p w14:paraId="2E03CB8D">
      <w:pPr>
        <w:pageBreakBefore w:val="0"/>
        <w:kinsoku/>
        <w:wordWrap/>
        <w:overflowPunct/>
        <w:autoSpaceDE/>
        <w:autoSpaceDN/>
        <w:bidi w:val="0"/>
        <w:spacing w:after="0" w:line="560" w:lineRule="exact"/>
        <w:ind w:firstLine="482" w:firstLineChars="200"/>
        <w:jc w:val="center"/>
        <w:outlineLvl w:val="1"/>
        <w:rPr>
          <w:rStyle w:val="97"/>
          <w:b/>
          <w:color w:val="auto"/>
          <w:sz w:val="24"/>
          <w:szCs w:val="24"/>
          <w:highlight w:val="none"/>
        </w:rPr>
      </w:pPr>
      <w:r>
        <w:rPr>
          <w:rStyle w:val="97"/>
          <w:b/>
          <w:color w:val="auto"/>
          <w:sz w:val="24"/>
          <w:szCs w:val="24"/>
          <w:highlight w:val="none"/>
        </w:rPr>
        <w:br w:type="page"/>
      </w:r>
      <w:bookmarkStart w:id="100" w:name="_Toc13545"/>
      <w:r>
        <w:rPr>
          <w:rStyle w:val="97"/>
          <w:rFonts w:hint="eastAsia"/>
          <w:b/>
          <w:color w:val="auto"/>
          <w:sz w:val="24"/>
          <w:szCs w:val="24"/>
          <w:highlight w:val="none"/>
          <w:lang w:val="en-US" w:eastAsia="zh-CN"/>
        </w:rPr>
        <w:t>六、</w:t>
      </w:r>
      <w:r>
        <w:rPr>
          <w:rStyle w:val="97"/>
          <w:rFonts w:hint="eastAsia"/>
          <w:b/>
          <w:color w:val="auto"/>
          <w:sz w:val="24"/>
          <w:szCs w:val="24"/>
          <w:highlight w:val="none"/>
        </w:rPr>
        <w:t>项目管理机构</w:t>
      </w:r>
      <w:bookmarkEnd w:id="100"/>
    </w:p>
    <w:tbl>
      <w:tblPr>
        <w:tblStyle w:val="22"/>
        <w:tblW w:w="9117" w:type="dxa"/>
        <w:jc w:val="center"/>
        <w:tblLayout w:type="fixed"/>
        <w:tblCellMar>
          <w:top w:w="0" w:type="dxa"/>
          <w:left w:w="10" w:type="dxa"/>
          <w:bottom w:w="0" w:type="dxa"/>
          <w:right w:w="10" w:type="dxa"/>
        </w:tblCellMar>
      </w:tblPr>
      <w:tblGrid>
        <w:gridCol w:w="1034"/>
        <w:gridCol w:w="1024"/>
        <w:gridCol w:w="1029"/>
        <w:gridCol w:w="1386"/>
        <w:gridCol w:w="788"/>
        <w:gridCol w:w="901"/>
        <w:gridCol w:w="1029"/>
        <w:gridCol w:w="1025"/>
        <w:gridCol w:w="901"/>
      </w:tblGrid>
      <w:tr w14:paraId="2495D111">
        <w:tblPrEx>
          <w:tblCellMar>
            <w:top w:w="0" w:type="dxa"/>
            <w:left w:w="10" w:type="dxa"/>
            <w:bottom w:w="0" w:type="dxa"/>
            <w:right w:w="10" w:type="dxa"/>
          </w:tblCellMar>
        </w:tblPrEx>
        <w:trPr>
          <w:trHeight w:val="501" w:hRule="exact"/>
          <w:jc w:val="center"/>
        </w:trPr>
        <w:tc>
          <w:tcPr>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EECF87">
            <w:pPr>
              <w:pStyle w:val="122"/>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pacing w:val="0"/>
                <w:w w:val="100"/>
                <w:position w:val="0"/>
                <w:sz w:val="21"/>
                <w:szCs w:val="21"/>
                <w:lang w:val="en-US" w:eastAsia="zh-CN"/>
              </w:rPr>
              <w:t>序号</w:t>
            </w:r>
          </w:p>
        </w:tc>
        <w:tc>
          <w:tcPr>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6CC97F">
            <w:pPr>
              <w:pStyle w:val="122"/>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姓名</w:t>
            </w:r>
          </w:p>
        </w:tc>
        <w:tc>
          <w:tcPr>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052898">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职称</w:t>
            </w:r>
          </w:p>
        </w:tc>
        <w:tc>
          <w:tcPr>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3B638">
            <w:pPr>
              <w:pStyle w:val="122"/>
              <w:keepNext w:val="0"/>
              <w:keepLines w:val="0"/>
              <w:widowControl w:val="0"/>
              <w:shd w:val="clear" w:color="auto" w:fill="auto"/>
              <w:bidi w:val="0"/>
              <w:spacing w:before="0" w:after="18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拟在本项</w:t>
            </w:r>
          </w:p>
          <w:p w14:paraId="20DC7050">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目中任职</w:t>
            </w:r>
          </w:p>
        </w:tc>
        <w:tc>
          <w:tcPr>
            <w:tcW w:w="37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4DD335">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1"/>
                <w:szCs w:val="21"/>
              </w:rPr>
            </w:pPr>
            <w:r>
              <w:rPr>
                <w:rFonts w:hint="eastAsia" w:asciiTheme="minorEastAsia" w:hAnsiTheme="minorEastAsia" w:eastAsiaTheme="minorEastAsia" w:cstheme="minorEastAsia"/>
                <w:color w:val="000000"/>
                <w:spacing w:val="0"/>
                <w:w w:val="100"/>
                <w:position w:val="0"/>
                <w:sz w:val="21"/>
                <w:szCs w:val="21"/>
              </w:rPr>
              <w:t>执业或职业资格证明</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43BCBB9D">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备注</w:t>
            </w:r>
          </w:p>
        </w:tc>
      </w:tr>
      <w:tr w14:paraId="54D35834">
        <w:tblPrEx>
          <w:tblCellMar>
            <w:top w:w="0" w:type="dxa"/>
            <w:left w:w="10" w:type="dxa"/>
            <w:bottom w:w="0" w:type="dxa"/>
            <w:right w:w="10" w:type="dxa"/>
          </w:tblCellMar>
        </w:tblPrEx>
        <w:trPr>
          <w:trHeight w:val="939"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041551">
            <w:pPr>
              <w:rPr>
                <w:rFonts w:hint="eastAsia" w:asciiTheme="minorEastAsia" w:hAnsiTheme="minorEastAsia" w:eastAsiaTheme="minorEastAsia" w:cstheme="minorEastAsia"/>
                <w:sz w:val="21"/>
                <w:szCs w:val="21"/>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A68D3">
            <w:pPr>
              <w:rPr>
                <w:rFonts w:hint="eastAsia" w:asciiTheme="minorEastAsia" w:hAnsiTheme="minorEastAsia" w:eastAsiaTheme="minorEastAsia" w:cstheme="minorEastAsia"/>
                <w:sz w:val="21"/>
                <w:szCs w:val="21"/>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03F67">
            <w:pPr>
              <w:rPr>
                <w:rFonts w:hint="eastAsia" w:asciiTheme="minorEastAsia" w:hAnsiTheme="minorEastAsia" w:eastAsiaTheme="minorEastAsia" w:cstheme="minorEastAsia"/>
                <w:sz w:val="21"/>
                <w:szCs w:val="21"/>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F3835">
            <w:pPr>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15033378">
            <w:pPr>
              <w:pStyle w:val="122"/>
              <w:keepNext w:val="0"/>
              <w:keepLines w:val="0"/>
              <w:widowControl w:val="0"/>
              <w:shd w:val="clear" w:color="auto" w:fill="auto"/>
              <w:bidi w:val="0"/>
              <w:spacing w:before="0" w:after="18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证书</w:t>
            </w:r>
          </w:p>
          <w:p w14:paraId="07EAA18B">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名称</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17725FF5">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级别</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19B30B09">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证号</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594874D1">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专业</w:t>
            </w:r>
          </w:p>
        </w:tc>
        <w:tc>
          <w:tcPr>
            <w:tcBorders>
              <w:top w:val="single" w:color="auto" w:sz="4" w:space="0"/>
              <w:left w:val="single" w:color="auto" w:sz="4" w:space="0"/>
              <w:bottom w:val="single" w:color="auto" w:sz="4" w:space="0"/>
              <w:right w:val="single" w:color="auto" w:sz="4" w:space="0"/>
            </w:tcBorders>
            <w:shd w:val="clear" w:color="auto" w:fill="auto"/>
            <w:vAlign w:val="top"/>
          </w:tcPr>
          <w:p w14:paraId="27E6F16B">
            <w:pPr>
              <w:widowControl w:val="0"/>
              <w:rPr>
                <w:rFonts w:hint="eastAsia" w:asciiTheme="minorEastAsia" w:hAnsiTheme="minorEastAsia" w:eastAsiaTheme="minorEastAsia" w:cstheme="minorEastAsia"/>
                <w:sz w:val="21"/>
                <w:szCs w:val="21"/>
              </w:rPr>
            </w:pPr>
          </w:p>
        </w:tc>
      </w:tr>
      <w:tr w14:paraId="34995B01">
        <w:tblPrEx>
          <w:tblCellMar>
            <w:top w:w="0" w:type="dxa"/>
            <w:left w:w="10" w:type="dxa"/>
            <w:bottom w:w="0" w:type="dxa"/>
            <w:right w:w="10" w:type="dxa"/>
          </w:tblCellMar>
        </w:tblPrEx>
        <w:trPr>
          <w:trHeight w:val="853"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033633E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69164A1">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F7B554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C7231D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7A0A0F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66B9A41">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82E8512">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44F2684">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26AA344">
            <w:pPr>
              <w:widowControl w:val="0"/>
              <w:rPr>
                <w:rFonts w:hint="eastAsia" w:asciiTheme="minorEastAsia" w:hAnsiTheme="minorEastAsia" w:eastAsiaTheme="minorEastAsia" w:cstheme="minorEastAsia"/>
                <w:sz w:val="21"/>
                <w:szCs w:val="21"/>
              </w:rPr>
            </w:pPr>
          </w:p>
        </w:tc>
      </w:tr>
      <w:tr w14:paraId="426440B6">
        <w:tblPrEx>
          <w:tblCellMar>
            <w:top w:w="0" w:type="dxa"/>
            <w:left w:w="10" w:type="dxa"/>
            <w:bottom w:w="0" w:type="dxa"/>
            <w:right w:w="10" w:type="dxa"/>
          </w:tblCellMar>
        </w:tblPrEx>
        <w:trPr>
          <w:trHeight w:val="815"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2DD46FA1">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28C29EE">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BC43D6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9C5165E">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4B98DD4">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1231C9D">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7057C17">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4C5F9D5">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971B955">
            <w:pPr>
              <w:widowControl w:val="0"/>
              <w:rPr>
                <w:rFonts w:hint="eastAsia" w:asciiTheme="minorEastAsia" w:hAnsiTheme="minorEastAsia" w:eastAsiaTheme="minorEastAsia" w:cstheme="minorEastAsia"/>
                <w:sz w:val="21"/>
                <w:szCs w:val="21"/>
              </w:rPr>
            </w:pPr>
          </w:p>
        </w:tc>
      </w:tr>
      <w:tr w14:paraId="1B307755">
        <w:tblPrEx>
          <w:tblCellMar>
            <w:top w:w="0" w:type="dxa"/>
            <w:left w:w="10" w:type="dxa"/>
            <w:bottom w:w="0" w:type="dxa"/>
            <w:right w:w="10" w:type="dxa"/>
          </w:tblCellMar>
        </w:tblPrEx>
        <w:trPr>
          <w:trHeight w:val="853"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56DCDD73">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481A7B4">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8A7B6A2">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642F215">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0A4DA9E">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7F1E2AF">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5A5ABD5">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79D9A7D">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7F8EFA8">
            <w:pPr>
              <w:widowControl w:val="0"/>
              <w:rPr>
                <w:rFonts w:hint="eastAsia" w:asciiTheme="minorEastAsia" w:hAnsiTheme="minorEastAsia" w:eastAsiaTheme="minorEastAsia" w:cstheme="minorEastAsia"/>
                <w:sz w:val="21"/>
                <w:szCs w:val="21"/>
              </w:rPr>
            </w:pPr>
          </w:p>
        </w:tc>
      </w:tr>
      <w:tr w14:paraId="017C5022">
        <w:tblPrEx>
          <w:tblCellMar>
            <w:top w:w="0" w:type="dxa"/>
            <w:left w:w="10" w:type="dxa"/>
            <w:bottom w:w="0" w:type="dxa"/>
            <w:right w:w="10" w:type="dxa"/>
          </w:tblCellMar>
        </w:tblPrEx>
        <w:trPr>
          <w:trHeight w:val="815"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6C9E8F20">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7502C4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ACF2F89">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708D82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193901F">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356C34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849CA70">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9A30D7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47B8F5C">
            <w:pPr>
              <w:widowControl w:val="0"/>
              <w:rPr>
                <w:rFonts w:hint="eastAsia" w:asciiTheme="minorEastAsia" w:hAnsiTheme="minorEastAsia" w:eastAsiaTheme="minorEastAsia" w:cstheme="minorEastAsia"/>
                <w:sz w:val="21"/>
                <w:szCs w:val="21"/>
              </w:rPr>
            </w:pPr>
          </w:p>
        </w:tc>
      </w:tr>
      <w:tr w14:paraId="1020284C">
        <w:tblPrEx>
          <w:tblCellMar>
            <w:top w:w="0" w:type="dxa"/>
            <w:left w:w="10" w:type="dxa"/>
            <w:bottom w:w="0" w:type="dxa"/>
            <w:right w:w="10" w:type="dxa"/>
          </w:tblCellMar>
        </w:tblPrEx>
        <w:trPr>
          <w:trHeight w:val="853"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7DD6F9BB">
            <w:pPr>
              <w:widowControl w:val="0"/>
              <w:rPr>
                <w:rFonts w:hint="eastAsia" w:asciiTheme="minorEastAsia" w:hAnsiTheme="minorEastAsia" w:eastAsiaTheme="minorEastAsia" w:cstheme="minorEastAsia"/>
                <w:sz w:val="21"/>
                <w:szCs w:val="21"/>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670D8CA">
            <w:pPr>
              <w:widowControl w:val="0"/>
              <w:rPr>
                <w:rFonts w:hint="eastAsia" w:asciiTheme="minorEastAsia" w:hAnsiTheme="minorEastAsia" w:eastAsiaTheme="minorEastAsia" w:cstheme="minorEastAsia"/>
                <w:sz w:val="21"/>
                <w:szCs w:val="21"/>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6EFD9DF">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E63ABE7">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D20513E">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16535D6">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32C3038">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FDFF4AE">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61C3A4A">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r>
      <w:tr w14:paraId="2A1B68FF">
        <w:tblPrEx>
          <w:tblCellMar>
            <w:top w:w="0" w:type="dxa"/>
            <w:left w:w="10" w:type="dxa"/>
            <w:bottom w:w="0" w:type="dxa"/>
            <w:right w:w="10" w:type="dxa"/>
          </w:tblCellMar>
        </w:tblPrEx>
        <w:trPr>
          <w:trHeight w:val="815"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6139DEC6">
            <w:pPr>
              <w:widowControl w:val="0"/>
              <w:rPr>
                <w:rFonts w:hint="eastAsia" w:asciiTheme="minorEastAsia" w:hAnsiTheme="minorEastAsia" w:eastAsiaTheme="minorEastAsia" w:cstheme="minorEastAsia"/>
                <w:sz w:val="21"/>
                <w:szCs w:val="21"/>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27176F7">
            <w:pPr>
              <w:widowControl w:val="0"/>
              <w:rPr>
                <w:rFonts w:hint="eastAsia" w:asciiTheme="minorEastAsia" w:hAnsiTheme="minorEastAsia" w:eastAsiaTheme="minorEastAsia" w:cstheme="minorEastAsia"/>
                <w:sz w:val="21"/>
                <w:szCs w:val="21"/>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AEE27CF">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4B4D57C">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A557160">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6CD932A">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CAA3E4B">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7068AA4">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2BE0015">
            <w:pPr>
              <w:pStyle w:val="62"/>
              <w:pageBreakBefore w:val="0"/>
              <w:kinsoku/>
              <w:wordWrap/>
              <w:overflowPunct/>
              <w:autoSpaceDE/>
              <w:autoSpaceDN/>
              <w:bidi w:val="0"/>
              <w:spacing w:after="0" w:line="560" w:lineRule="exact"/>
              <w:rPr>
                <w:rStyle w:val="97"/>
                <w:rFonts w:hint="eastAsia" w:cs="Times New Roman"/>
                <w:color w:val="auto"/>
                <w:sz w:val="24"/>
                <w:szCs w:val="24"/>
                <w:highlight w:val="none"/>
              </w:rPr>
            </w:pPr>
          </w:p>
        </w:tc>
      </w:tr>
    </w:tbl>
    <w:p w14:paraId="37479EE1">
      <w:pPr>
        <w:pStyle w:val="62"/>
        <w:pageBreakBefore w:val="0"/>
        <w:kinsoku/>
        <w:wordWrap/>
        <w:overflowPunct/>
        <w:autoSpaceDE/>
        <w:autoSpaceDN/>
        <w:bidi w:val="0"/>
        <w:spacing w:after="0" w:line="560" w:lineRule="exact"/>
        <w:rPr>
          <w:rStyle w:val="97"/>
          <w:rFonts w:hint="eastAsia" w:eastAsia="宋体"/>
          <w:color w:val="auto"/>
          <w:sz w:val="24"/>
          <w:szCs w:val="24"/>
          <w:highlight w:val="none"/>
          <w:lang w:val="en-US" w:eastAsia="zh-CN"/>
        </w:rPr>
      </w:pPr>
      <w:r>
        <w:rPr>
          <w:rStyle w:val="97"/>
          <w:rFonts w:hint="eastAsia"/>
          <w:color w:val="auto"/>
          <w:sz w:val="24"/>
          <w:szCs w:val="24"/>
          <w:highlight w:val="none"/>
          <w:lang w:val="en-US" w:eastAsia="zh-CN"/>
        </w:rPr>
        <w:t>注：附人员相关证件扫描件等资料。</w:t>
      </w:r>
    </w:p>
    <w:p w14:paraId="71876BC3">
      <w:pPr>
        <w:rPr>
          <w:rStyle w:val="97"/>
          <w:rFonts w:hint="eastAsia" w:ascii="Times New Roman" w:hAnsi="Times New Roman" w:cs="Times New Roman"/>
          <w:b/>
          <w:color w:val="auto"/>
          <w:sz w:val="24"/>
          <w:szCs w:val="24"/>
          <w:highlight w:val="none"/>
          <w:lang w:val="en-US" w:eastAsia="zh-CN"/>
        </w:rPr>
      </w:pPr>
      <w:r>
        <w:rPr>
          <w:rStyle w:val="97"/>
          <w:rFonts w:hint="eastAsia" w:ascii="Times New Roman" w:hAnsi="Times New Roman" w:cs="Times New Roman"/>
          <w:b/>
          <w:color w:val="auto"/>
          <w:sz w:val="24"/>
          <w:szCs w:val="24"/>
          <w:highlight w:val="none"/>
          <w:lang w:val="en-US" w:eastAsia="zh-CN"/>
        </w:rPr>
        <w:br w:type="page"/>
      </w:r>
    </w:p>
    <w:p w14:paraId="16D906D8">
      <w:pPr>
        <w:pageBreakBefore w:val="0"/>
        <w:kinsoku/>
        <w:wordWrap/>
        <w:overflowPunct/>
        <w:autoSpaceDE/>
        <w:autoSpaceDN/>
        <w:bidi w:val="0"/>
        <w:spacing w:after="0" w:line="560" w:lineRule="exact"/>
        <w:jc w:val="center"/>
        <w:outlineLvl w:val="1"/>
        <w:rPr>
          <w:rStyle w:val="97"/>
          <w:b/>
          <w:color w:val="auto"/>
          <w:kern w:val="0"/>
          <w:sz w:val="24"/>
          <w:szCs w:val="24"/>
          <w:highlight w:val="none"/>
        </w:rPr>
      </w:pPr>
      <w:bookmarkStart w:id="101" w:name="_Toc31262"/>
      <w:r>
        <w:rPr>
          <w:rStyle w:val="97"/>
          <w:rFonts w:hint="eastAsia" w:ascii="Times New Roman" w:hAnsi="Times New Roman" w:cs="Times New Roman"/>
          <w:b/>
          <w:color w:val="auto"/>
          <w:sz w:val="24"/>
          <w:szCs w:val="24"/>
          <w:highlight w:val="none"/>
          <w:lang w:val="en-US" w:eastAsia="zh-CN"/>
        </w:rPr>
        <w:t>七、</w:t>
      </w:r>
      <w:r>
        <w:rPr>
          <w:rStyle w:val="97"/>
          <w:rFonts w:hint="eastAsia"/>
          <w:b/>
          <w:color w:val="auto"/>
          <w:kern w:val="0"/>
          <w:sz w:val="24"/>
          <w:szCs w:val="24"/>
          <w:highlight w:val="none"/>
        </w:rPr>
        <w:t>类似项目业绩</w:t>
      </w:r>
      <w:bookmarkEnd w:id="101"/>
    </w:p>
    <w:tbl>
      <w:tblPr>
        <w:tblStyle w:val="22"/>
        <w:tblW w:w="9997" w:type="dxa"/>
        <w:jc w:val="center"/>
        <w:tblLayout w:type="fixed"/>
        <w:tblCellMar>
          <w:top w:w="0" w:type="dxa"/>
          <w:left w:w="10" w:type="dxa"/>
          <w:bottom w:w="0" w:type="dxa"/>
          <w:right w:w="10" w:type="dxa"/>
        </w:tblCellMar>
      </w:tblPr>
      <w:tblGrid>
        <w:gridCol w:w="1057"/>
        <w:gridCol w:w="1623"/>
        <w:gridCol w:w="1304"/>
        <w:gridCol w:w="1133"/>
        <w:gridCol w:w="1947"/>
        <w:gridCol w:w="1463"/>
        <w:gridCol w:w="1470"/>
      </w:tblGrid>
      <w:tr w14:paraId="540D3560">
        <w:tblPrEx>
          <w:tblCellMar>
            <w:top w:w="0" w:type="dxa"/>
            <w:left w:w="10" w:type="dxa"/>
            <w:bottom w:w="0" w:type="dxa"/>
            <w:right w:w="10" w:type="dxa"/>
          </w:tblCellMar>
        </w:tblPrEx>
        <w:trPr>
          <w:trHeight w:val="1480"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center"/>
          </w:tcPr>
          <w:p w14:paraId="73E667EA">
            <w:pPr>
              <w:pStyle w:val="122"/>
              <w:keepNext w:val="0"/>
              <w:keepLines w:val="0"/>
              <w:widowControl w:val="0"/>
              <w:shd w:val="clear" w:color="auto" w:fill="auto"/>
              <w:bidi w:val="0"/>
              <w:spacing w:before="0" w:after="0" w:line="240" w:lineRule="auto"/>
              <w:ind w:left="0" w:right="0" w:firstLine="24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序号</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505C4542">
            <w:pPr>
              <w:pStyle w:val="122"/>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pacing w:val="0"/>
                <w:w w:val="100"/>
                <w:position w:val="0"/>
                <w:sz w:val="21"/>
                <w:szCs w:val="21"/>
                <w:lang w:val="en-US" w:eastAsia="zh-CN"/>
              </w:rPr>
              <w:t>项目名称</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353CB2E0">
            <w:pPr>
              <w:pStyle w:val="122"/>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合同签订</w:t>
            </w:r>
          </w:p>
          <w:p w14:paraId="211E400A">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时间</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1ACB4F3E">
            <w:pPr>
              <w:pStyle w:val="122"/>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pacing w:val="0"/>
                <w:w w:val="100"/>
                <w:position w:val="0"/>
                <w:sz w:val="21"/>
                <w:szCs w:val="21"/>
                <w:lang w:val="en-US" w:eastAsia="zh-CN"/>
              </w:rPr>
              <w:t>合同总价</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356FC7B3">
            <w:pPr>
              <w:pStyle w:val="122"/>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pacing w:val="0"/>
                <w:w w:val="100"/>
                <w:position w:val="0"/>
                <w:sz w:val="21"/>
                <w:szCs w:val="21"/>
                <w:lang w:val="en-US" w:eastAsia="zh-CN"/>
              </w:rPr>
              <w:t>主要内容</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6FA422E3">
            <w:pPr>
              <w:pStyle w:val="122"/>
              <w:keepNext w:val="0"/>
              <w:keepLines w:val="0"/>
              <w:widowControl w:val="0"/>
              <w:shd w:val="clear" w:color="auto" w:fill="auto"/>
              <w:bidi w:val="0"/>
              <w:spacing w:before="0" w:after="22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业主单位及</w:t>
            </w:r>
          </w:p>
          <w:p w14:paraId="7163F4A1">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联系方式</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32506278">
            <w:pPr>
              <w:pStyle w:val="122"/>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备注</w:t>
            </w:r>
          </w:p>
        </w:tc>
      </w:tr>
      <w:tr w14:paraId="30ABE65F">
        <w:tblPrEx>
          <w:tblCellMar>
            <w:top w:w="0" w:type="dxa"/>
            <w:left w:w="10" w:type="dxa"/>
            <w:bottom w:w="0" w:type="dxa"/>
            <w:right w:w="10" w:type="dxa"/>
          </w:tblCellMar>
        </w:tblPrEx>
        <w:trPr>
          <w:trHeight w:val="761"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047963B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B6F5BF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9F51B5A">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469708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BA97DE7">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F888630">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76CE30F">
            <w:pPr>
              <w:widowControl w:val="0"/>
              <w:rPr>
                <w:rFonts w:hint="eastAsia" w:asciiTheme="minorEastAsia" w:hAnsiTheme="minorEastAsia" w:eastAsiaTheme="minorEastAsia" w:cstheme="minorEastAsia"/>
                <w:sz w:val="21"/>
                <w:szCs w:val="21"/>
              </w:rPr>
            </w:pPr>
          </w:p>
        </w:tc>
      </w:tr>
      <w:tr w14:paraId="306BAC0C">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362DB3C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CF6AA0D">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3A1395D">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D985FA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47DBADE">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498EA55">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82EAAB7">
            <w:pPr>
              <w:widowControl w:val="0"/>
              <w:rPr>
                <w:rFonts w:hint="eastAsia" w:asciiTheme="minorEastAsia" w:hAnsiTheme="minorEastAsia" w:eastAsiaTheme="minorEastAsia" w:cstheme="minorEastAsia"/>
                <w:sz w:val="21"/>
                <w:szCs w:val="21"/>
              </w:rPr>
            </w:pPr>
          </w:p>
        </w:tc>
      </w:tr>
      <w:tr w14:paraId="60DDBA10">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730EE62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DD1B86F">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A0924B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6D47DF9">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3E59F9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2C88D20">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8ACD97A">
            <w:pPr>
              <w:widowControl w:val="0"/>
              <w:rPr>
                <w:rFonts w:hint="eastAsia" w:asciiTheme="minorEastAsia" w:hAnsiTheme="minorEastAsia" w:eastAsiaTheme="minorEastAsia" w:cstheme="minorEastAsia"/>
                <w:sz w:val="21"/>
                <w:szCs w:val="21"/>
              </w:rPr>
            </w:pPr>
          </w:p>
        </w:tc>
      </w:tr>
      <w:tr w14:paraId="2C58928F">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32E45CBB">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05A54B0">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6537CEE">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DB6CB73">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48E90B1">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A997292">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BAE99D8">
            <w:pPr>
              <w:widowControl w:val="0"/>
              <w:rPr>
                <w:rFonts w:hint="eastAsia" w:asciiTheme="minorEastAsia" w:hAnsiTheme="minorEastAsia" w:eastAsiaTheme="minorEastAsia" w:cstheme="minorEastAsia"/>
                <w:sz w:val="21"/>
                <w:szCs w:val="21"/>
              </w:rPr>
            </w:pPr>
          </w:p>
        </w:tc>
      </w:tr>
      <w:tr w14:paraId="77FC6402">
        <w:tblPrEx>
          <w:tblCellMar>
            <w:top w:w="0" w:type="dxa"/>
            <w:left w:w="10" w:type="dxa"/>
            <w:bottom w:w="0" w:type="dxa"/>
            <w:right w:w="10" w:type="dxa"/>
          </w:tblCellMar>
        </w:tblPrEx>
        <w:trPr>
          <w:trHeight w:val="761"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4FABE439">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BD44BF2">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CD7EFBD">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2E82319">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C2D835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9F5A94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3DB4106">
            <w:pPr>
              <w:widowControl w:val="0"/>
              <w:rPr>
                <w:rFonts w:hint="eastAsia" w:asciiTheme="minorEastAsia" w:hAnsiTheme="minorEastAsia" w:eastAsiaTheme="minorEastAsia" w:cstheme="minorEastAsia"/>
                <w:sz w:val="21"/>
                <w:szCs w:val="21"/>
              </w:rPr>
            </w:pPr>
          </w:p>
        </w:tc>
      </w:tr>
      <w:tr w14:paraId="46F364B8">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74AB0E1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34AD477">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A5CEA1A">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58FECDC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58B3166">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9D1D781">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448DC844">
            <w:pPr>
              <w:widowControl w:val="0"/>
              <w:rPr>
                <w:rFonts w:hint="eastAsia" w:asciiTheme="minorEastAsia" w:hAnsiTheme="minorEastAsia" w:eastAsiaTheme="minorEastAsia" w:cstheme="minorEastAsia"/>
                <w:sz w:val="21"/>
                <w:szCs w:val="21"/>
              </w:rPr>
            </w:pPr>
          </w:p>
        </w:tc>
      </w:tr>
      <w:tr w14:paraId="5689A1BE">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38E14F1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6B84D53">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C4AE047">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23247275">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07C739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C1237A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786F2128">
            <w:pPr>
              <w:widowControl w:val="0"/>
              <w:rPr>
                <w:rFonts w:hint="eastAsia" w:asciiTheme="minorEastAsia" w:hAnsiTheme="minorEastAsia" w:eastAsiaTheme="minorEastAsia" w:cstheme="minorEastAsia"/>
                <w:sz w:val="21"/>
                <w:szCs w:val="21"/>
              </w:rPr>
            </w:pPr>
          </w:p>
        </w:tc>
      </w:tr>
      <w:tr w14:paraId="4506347C">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top"/>
          </w:tcPr>
          <w:p w14:paraId="006CB759">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68999E33">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0D1DA41C">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120BA528">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BC41049">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D270AC1">
            <w:pPr>
              <w:widowControl w:val="0"/>
              <w:rPr>
                <w:rFonts w:hint="eastAsia" w:asciiTheme="minorEastAsia" w:hAnsiTheme="minorEastAsia" w:eastAsiaTheme="minorEastAsia" w:cstheme="minorEastAsia"/>
                <w:sz w:val="21"/>
                <w:szCs w:val="21"/>
              </w:rPr>
            </w:pPr>
          </w:p>
        </w:tc>
        <w:tc>
          <w:tcPr>
            <w:tcBorders>
              <w:top w:val="single" w:color="auto" w:sz="4" w:space="0"/>
              <w:left w:val="single" w:color="auto" w:sz="4" w:space="0"/>
              <w:bottom w:val="single" w:color="auto" w:sz="4" w:space="0"/>
              <w:right w:val="single" w:color="auto" w:sz="4" w:space="0"/>
            </w:tcBorders>
            <w:shd w:val="clear" w:color="auto" w:fill="auto"/>
            <w:vAlign w:val="top"/>
          </w:tcPr>
          <w:p w14:paraId="3B92A9D7">
            <w:pPr>
              <w:widowControl w:val="0"/>
              <w:rPr>
                <w:rFonts w:hint="eastAsia" w:asciiTheme="minorEastAsia" w:hAnsiTheme="minorEastAsia" w:eastAsiaTheme="minorEastAsia" w:cstheme="minorEastAsia"/>
                <w:sz w:val="21"/>
                <w:szCs w:val="21"/>
              </w:rPr>
            </w:pPr>
          </w:p>
        </w:tc>
      </w:tr>
    </w:tbl>
    <w:p w14:paraId="23921CDD">
      <w:pPr>
        <w:pageBreakBefore w:val="0"/>
        <w:numPr>
          <w:ilvl w:val="0"/>
          <w:numId w:val="0"/>
        </w:numPr>
        <w:kinsoku/>
        <w:wordWrap/>
        <w:overflowPunct/>
        <w:autoSpaceDE/>
        <w:autoSpaceDN/>
        <w:bidi w:val="0"/>
        <w:spacing w:after="0" w:line="560" w:lineRule="exact"/>
        <w:jc w:val="both"/>
        <w:outlineLvl w:val="9"/>
        <w:rPr>
          <w:rStyle w:val="97"/>
          <w:rFonts w:hint="default" w:ascii="Times New Roman" w:hAnsi="Times New Roman" w:cs="Times New Roman"/>
          <w:b/>
          <w:color w:val="auto"/>
          <w:sz w:val="24"/>
          <w:szCs w:val="24"/>
          <w:highlight w:val="none"/>
          <w:lang w:val="en-US" w:eastAsia="zh-CN"/>
        </w:rPr>
      </w:pPr>
      <w:r>
        <w:rPr>
          <w:rStyle w:val="97"/>
          <w:rFonts w:hint="eastAsia" w:ascii="Times New Roman" w:hAnsi="Times New Roman" w:cs="Times New Roman"/>
          <w:b/>
          <w:color w:val="auto"/>
          <w:sz w:val="24"/>
          <w:szCs w:val="24"/>
          <w:highlight w:val="none"/>
          <w:lang w:val="en-US" w:eastAsia="zh-CN"/>
        </w:rPr>
        <w:t>注：后附合同等证明材料扫描件</w:t>
      </w:r>
    </w:p>
    <w:p w14:paraId="27AE69BD">
      <w:pPr>
        <w:rPr>
          <w:rStyle w:val="97"/>
          <w:rFonts w:hint="eastAsia" w:ascii="Times New Roman" w:hAnsi="Times New Roman" w:cs="Times New Roman"/>
          <w:b/>
          <w:color w:val="auto"/>
          <w:sz w:val="24"/>
          <w:szCs w:val="24"/>
          <w:highlight w:val="none"/>
          <w:lang w:val="en-US" w:eastAsia="zh-CN"/>
        </w:rPr>
      </w:pPr>
      <w:r>
        <w:rPr>
          <w:rStyle w:val="97"/>
          <w:rFonts w:hint="eastAsia" w:ascii="Times New Roman" w:hAnsi="Times New Roman" w:cs="Times New Roman"/>
          <w:b/>
          <w:color w:val="auto"/>
          <w:sz w:val="24"/>
          <w:szCs w:val="24"/>
          <w:highlight w:val="none"/>
          <w:lang w:val="en-US" w:eastAsia="zh-CN"/>
        </w:rPr>
        <w:br w:type="page"/>
      </w:r>
    </w:p>
    <w:p w14:paraId="7132E1F4">
      <w:pPr>
        <w:pageBreakBefore w:val="0"/>
        <w:numPr>
          <w:ilvl w:val="0"/>
          <w:numId w:val="0"/>
        </w:numPr>
        <w:kinsoku/>
        <w:wordWrap/>
        <w:overflowPunct/>
        <w:autoSpaceDE/>
        <w:autoSpaceDN/>
        <w:bidi w:val="0"/>
        <w:spacing w:after="0" w:line="560" w:lineRule="exact"/>
        <w:jc w:val="center"/>
        <w:outlineLvl w:val="1"/>
        <w:rPr>
          <w:rStyle w:val="97"/>
          <w:rFonts w:hint="default" w:ascii="Times New Roman" w:hAnsi="Times New Roman" w:cs="Times New Roman"/>
          <w:b/>
          <w:color w:val="auto"/>
          <w:sz w:val="24"/>
          <w:szCs w:val="24"/>
          <w:highlight w:val="none"/>
          <w:lang w:val="en-US" w:eastAsia="zh-CN"/>
        </w:rPr>
      </w:pPr>
      <w:bookmarkStart w:id="102" w:name="_Toc15888"/>
      <w:r>
        <w:rPr>
          <w:rStyle w:val="97"/>
          <w:rFonts w:hint="eastAsia" w:ascii="Times New Roman" w:hAnsi="Times New Roman" w:cs="Times New Roman"/>
          <w:b/>
          <w:color w:val="auto"/>
          <w:sz w:val="24"/>
          <w:szCs w:val="24"/>
          <w:highlight w:val="none"/>
          <w:lang w:val="en-US" w:eastAsia="zh-CN"/>
        </w:rPr>
        <w:t>八、技术部分</w:t>
      </w:r>
      <w:bookmarkEnd w:id="102"/>
    </w:p>
    <w:p w14:paraId="2EECE6C2">
      <w:pPr>
        <w:rPr>
          <w:rStyle w:val="97"/>
          <w:rFonts w:hint="eastAsia"/>
          <w:b/>
          <w:color w:val="auto"/>
          <w:sz w:val="24"/>
          <w:szCs w:val="24"/>
          <w:highlight w:val="none"/>
          <w:lang w:val="en-US" w:eastAsia="zh-CN"/>
        </w:rPr>
      </w:pPr>
    </w:p>
    <w:p w14:paraId="7ED121CA">
      <w:pPr>
        <w:jc w:val="center"/>
        <w:rPr>
          <w:rStyle w:val="97"/>
          <w:rFonts w:hint="default"/>
          <w:b/>
          <w:color w:val="auto"/>
          <w:sz w:val="24"/>
          <w:szCs w:val="24"/>
          <w:highlight w:val="none"/>
          <w:lang w:val="en-US" w:eastAsia="zh-CN"/>
        </w:rPr>
      </w:pPr>
      <w:r>
        <w:rPr>
          <w:rStyle w:val="97"/>
          <w:rFonts w:hint="eastAsia"/>
          <w:b/>
          <w:color w:val="auto"/>
          <w:sz w:val="24"/>
          <w:szCs w:val="24"/>
          <w:highlight w:val="none"/>
          <w:lang w:val="en-US" w:eastAsia="zh-CN"/>
        </w:rPr>
        <w:t>供应商根据评标办法的要求自行编写。</w:t>
      </w:r>
    </w:p>
    <w:p w14:paraId="6AC8679A">
      <w:pPr>
        <w:rPr>
          <w:rStyle w:val="97"/>
          <w:rFonts w:hint="eastAsia"/>
          <w:b/>
          <w:color w:val="auto"/>
          <w:sz w:val="24"/>
          <w:szCs w:val="24"/>
          <w:highlight w:val="none"/>
          <w:lang w:val="en-US" w:eastAsia="zh-CN"/>
        </w:rPr>
      </w:pPr>
      <w:r>
        <w:rPr>
          <w:rStyle w:val="97"/>
          <w:rFonts w:hint="eastAsia"/>
          <w:b/>
          <w:color w:val="auto"/>
          <w:sz w:val="24"/>
          <w:szCs w:val="24"/>
          <w:highlight w:val="none"/>
          <w:lang w:val="en-US" w:eastAsia="zh-CN"/>
        </w:rPr>
        <w:br w:type="page"/>
      </w:r>
    </w:p>
    <w:p w14:paraId="6354D332">
      <w:pPr>
        <w:pageBreakBefore w:val="0"/>
        <w:numPr>
          <w:ilvl w:val="0"/>
          <w:numId w:val="0"/>
        </w:numPr>
        <w:kinsoku/>
        <w:wordWrap/>
        <w:overflowPunct/>
        <w:autoSpaceDE/>
        <w:autoSpaceDN/>
        <w:bidi w:val="0"/>
        <w:spacing w:after="0" w:line="560" w:lineRule="exact"/>
        <w:jc w:val="center"/>
        <w:outlineLvl w:val="1"/>
        <w:rPr>
          <w:rStyle w:val="97"/>
          <w:b/>
          <w:color w:val="auto"/>
          <w:sz w:val="24"/>
          <w:szCs w:val="24"/>
          <w:highlight w:val="none"/>
        </w:rPr>
      </w:pPr>
      <w:bookmarkStart w:id="103" w:name="_Toc506"/>
      <w:r>
        <w:rPr>
          <w:rStyle w:val="97"/>
          <w:rFonts w:hint="eastAsia"/>
          <w:b/>
          <w:color w:val="auto"/>
          <w:sz w:val="24"/>
          <w:szCs w:val="24"/>
          <w:highlight w:val="none"/>
          <w:lang w:val="en-US" w:eastAsia="zh-CN"/>
        </w:rPr>
        <w:t>九、服务承诺及合理化建议</w:t>
      </w:r>
      <w:bookmarkEnd w:id="103"/>
    </w:p>
    <w:p w14:paraId="5F2F0492">
      <w:pPr>
        <w:rPr>
          <w:rStyle w:val="97"/>
          <w:rFonts w:hint="eastAsia"/>
          <w:b/>
          <w:color w:val="auto"/>
          <w:kern w:val="0"/>
          <w:sz w:val="24"/>
          <w:szCs w:val="24"/>
          <w:highlight w:val="none"/>
        </w:rPr>
      </w:pPr>
      <w:r>
        <w:rPr>
          <w:rStyle w:val="97"/>
          <w:rFonts w:hint="eastAsia"/>
          <w:b/>
          <w:color w:val="auto"/>
          <w:kern w:val="0"/>
          <w:sz w:val="24"/>
          <w:szCs w:val="24"/>
          <w:highlight w:val="none"/>
        </w:rPr>
        <w:br w:type="page"/>
      </w:r>
    </w:p>
    <w:p w14:paraId="1ADBF2E7">
      <w:pPr>
        <w:keepNext w:val="0"/>
        <w:keepLines w:val="0"/>
        <w:pageBreakBefore w:val="0"/>
        <w:widowControl/>
        <w:kinsoku/>
        <w:wordWrap/>
        <w:overflowPunct/>
        <w:topLinePunct w:val="0"/>
        <w:autoSpaceDE/>
        <w:autoSpaceDN/>
        <w:bidi w:val="0"/>
        <w:adjustRightInd/>
        <w:snapToGrid/>
        <w:spacing w:after="0" w:line="500" w:lineRule="exact"/>
        <w:ind w:left="0" w:leftChars="0"/>
        <w:jc w:val="center"/>
        <w:textAlignment w:val="baseline"/>
        <w:outlineLvl w:val="1"/>
        <w:rPr>
          <w:rStyle w:val="97"/>
          <w:b/>
          <w:color w:val="auto"/>
          <w:kern w:val="0"/>
          <w:sz w:val="24"/>
          <w:szCs w:val="24"/>
          <w:highlight w:val="none"/>
        </w:rPr>
      </w:pPr>
      <w:bookmarkStart w:id="104" w:name="_Toc26539"/>
      <w:r>
        <w:rPr>
          <w:rStyle w:val="97"/>
          <w:rFonts w:hint="eastAsia"/>
          <w:b/>
          <w:color w:val="auto"/>
          <w:kern w:val="0"/>
          <w:sz w:val="24"/>
          <w:szCs w:val="24"/>
          <w:highlight w:val="none"/>
          <w:lang w:val="en-US" w:eastAsia="zh-CN"/>
        </w:rPr>
        <w:t>十</w:t>
      </w:r>
      <w:r>
        <w:rPr>
          <w:rStyle w:val="97"/>
          <w:rFonts w:hint="eastAsia"/>
          <w:b/>
          <w:color w:val="auto"/>
          <w:kern w:val="0"/>
          <w:sz w:val="24"/>
          <w:szCs w:val="24"/>
          <w:highlight w:val="none"/>
        </w:rPr>
        <w:t>、中小企业声明函（</w:t>
      </w:r>
      <w:r>
        <w:rPr>
          <w:rStyle w:val="97"/>
          <w:rFonts w:hint="eastAsia"/>
          <w:b/>
          <w:color w:val="auto"/>
          <w:kern w:val="0"/>
          <w:sz w:val="24"/>
          <w:szCs w:val="24"/>
          <w:highlight w:val="none"/>
          <w:lang w:val="en-US" w:eastAsia="zh-CN"/>
        </w:rPr>
        <w:t>服务</w:t>
      </w:r>
      <w:r>
        <w:rPr>
          <w:rStyle w:val="97"/>
          <w:rFonts w:hint="eastAsia"/>
          <w:b/>
          <w:color w:val="auto"/>
          <w:kern w:val="0"/>
          <w:sz w:val="24"/>
          <w:szCs w:val="24"/>
          <w:highlight w:val="none"/>
        </w:rPr>
        <w:t>）</w:t>
      </w:r>
      <w:bookmarkEnd w:id="104"/>
      <w:r>
        <w:rPr>
          <w:rStyle w:val="97"/>
          <w:rFonts w:hint="eastAsia"/>
          <w:b/>
          <w:color w:val="auto"/>
          <w:kern w:val="0"/>
          <w:sz w:val="24"/>
          <w:szCs w:val="24"/>
          <w:highlight w:val="none"/>
        </w:rPr>
        <w:t xml:space="preserve"> </w:t>
      </w:r>
    </w:p>
    <w:p w14:paraId="495BA8A8">
      <w:pPr>
        <w:pStyle w:val="118"/>
        <w:keepNext w:val="0"/>
        <w:keepLines w:val="0"/>
        <w:pageBreakBefore w:val="0"/>
        <w:widowControl/>
        <w:kinsoku/>
        <w:wordWrap/>
        <w:overflowPunct/>
        <w:topLinePunct w:val="0"/>
        <w:autoSpaceDE/>
        <w:autoSpaceDN/>
        <w:bidi w:val="0"/>
        <w:adjustRightInd/>
        <w:snapToGrid/>
        <w:spacing w:after="0" w:line="500" w:lineRule="exact"/>
        <w:ind w:left="0" w:leftChars="0" w:firstLine="660"/>
        <w:jc w:val="both"/>
        <w:textAlignment w:val="baseline"/>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本公司（联合体）郑重声明，根据《政府釆购促进中小企业发展管理办法》（财库〔2020〕46号）的规定，本公司（联合体）参加</w:t>
      </w:r>
      <w:r>
        <w:rPr>
          <w:rFonts w:hint="eastAsia"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14:textFill>
            <w14:solidFill>
              <w14:schemeClr w14:val="tx1"/>
            </w14:solidFill>
          </w14:textFill>
        </w:rPr>
        <w:t>（单位名称）</w:t>
      </w:r>
      <w:r>
        <w:rPr>
          <w:rFonts w:hint="eastAsia" w:ascii="宋体" w:hAnsi="宋体" w:eastAsia="宋体" w:cs="宋体"/>
          <w:i w:val="0"/>
          <w:iCs w:val="0"/>
          <w:color w:val="000000" w:themeColor="text1"/>
          <w:sz w:val="24"/>
          <w:szCs w:val="24"/>
          <w14:textFill>
            <w14:solidFill>
              <w14:schemeClr w14:val="tx1"/>
            </w14:solidFill>
          </w14:textFill>
        </w:rPr>
        <w:t>的</w:t>
      </w:r>
      <w:r>
        <w:rPr>
          <w:rFonts w:hint="eastAsia" w:cs="宋体"/>
          <w:i w:val="0"/>
          <w:iCs w:val="0"/>
          <w:color w:val="000000" w:themeColor="text1"/>
          <w:sz w:val="24"/>
          <w:szCs w:val="24"/>
          <w:u w:val="single"/>
          <w:lang w:eastAsia="zh-CN"/>
          <w14:textFill>
            <w14:solidFill>
              <w14:schemeClr w14:val="tx1"/>
            </w14:solidFill>
          </w14:textFill>
        </w:rPr>
        <w:t>郑州市自然资源和规划局高新分局不动产登记和房地产交易中心档案整理项目</w:t>
      </w:r>
      <w:r>
        <w:rPr>
          <w:rFonts w:hint="eastAsia" w:ascii="宋体" w:hAnsi="宋体" w:eastAsia="宋体" w:cs="宋体"/>
          <w:i w:val="0"/>
          <w:iCs w:val="0"/>
          <w:color w:val="000000" w:themeColor="text1"/>
          <w:sz w:val="24"/>
          <w:szCs w:val="24"/>
          <w14:textFill>
            <w14:solidFill>
              <w14:schemeClr w14:val="tx1"/>
            </w14:solidFill>
          </w14:textFill>
        </w:rPr>
        <w:t>招标项釆购活动,服务全部由符合政策要求的中小企业承接。相关企业（含联合体中的中小企业、签订分包意向协议的中小企业）的具体情况如下：</w:t>
      </w:r>
    </w:p>
    <w:p w14:paraId="790F8D57">
      <w:pPr>
        <w:pStyle w:val="118"/>
        <w:keepNext w:val="0"/>
        <w:keepLines w:val="0"/>
        <w:pageBreakBefore w:val="0"/>
        <w:widowControl/>
        <w:numPr>
          <w:ilvl w:val="0"/>
          <w:numId w:val="0"/>
        </w:numPr>
        <w:tabs>
          <w:tab w:val="left" w:pos="1234"/>
          <w:tab w:val="left" w:pos="4104"/>
        </w:tabs>
        <w:kinsoku/>
        <w:wordWrap/>
        <w:overflowPunct/>
        <w:topLinePunct w:val="0"/>
        <w:autoSpaceDE/>
        <w:autoSpaceDN/>
        <w:bidi w:val="0"/>
        <w:adjustRightInd/>
        <w:snapToGrid/>
        <w:spacing w:after="0" w:line="500" w:lineRule="exact"/>
        <w:ind w:left="0" w:leftChars="0" w:firstLine="480" w:firstLineChars="200"/>
        <w:jc w:val="both"/>
        <w:textAlignment w:val="baseline"/>
        <w:rPr>
          <w:rFonts w:hint="eastAsia" w:ascii="宋体" w:hAnsi="宋体" w:eastAsia="宋体" w:cs="宋体"/>
          <w:i w:val="0"/>
          <w:iCs w:val="0"/>
          <w:color w:val="000000" w:themeColor="text1"/>
          <w:sz w:val="24"/>
          <w:szCs w:val="24"/>
          <w14:textFill>
            <w14:solidFill>
              <w14:schemeClr w14:val="tx1"/>
            </w14:solidFill>
          </w14:textFill>
        </w:rPr>
      </w:pPr>
      <w:bookmarkStart w:id="105" w:name="bookmark26"/>
      <w:bookmarkEnd w:id="105"/>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1.</w:t>
      </w:r>
      <w:r>
        <w:rPr>
          <w:rFonts w:hint="eastAsia" w:cs="宋体"/>
          <w:i w:val="0"/>
          <w:iCs w:val="0"/>
          <w:color w:val="000000" w:themeColor="text1"/>
          <w:sz w:val="24"/>
          <w:szCs w:val="24"/>
          <w:u w:val="single"/>
          <w:lang w:eastAsia="zh-CN"/>
          <w14:textFill>
            <w14:solidFill>
              <w14:schemeClr w14:val="tx1"/>
            </w14:solidFill>
          </w14:textFill>
        </w:rPr>
        <w:t>郑州市自然资源和规划局高新分局不动产登记和房地产交易中心档案整理项目</w:t>
      </w:r>
      <w:r>
        <w:rPr>
          <w:rFonts w:hint="eastAsia" w:ascii="宋体" w:hAnsi="宋体" w:eastAsia="宋体" w:cs="宋体"/>
          <w:i w:val="0"/>
          <w:iCs w:val="0"/>
          <w:color w:val="000000" w:themeColor="text1"/>
          <w:sz w:val="24"/>
          <w:szCs w:val="24"/>
          <w14:textFill>
            <w14:solidFill>
              <w14:schemeClr w14:val="tx1"/>
            </w14:solidFill>
          </w14:textFill>
        </w:rPr>
        <w:t>,属于</w:t>
      </w:r>
      <w:r>
        <w:rPr>
          <w:rFonts w:hint="eastAsia" w:cs="宋体"/>
          <w:i w:val="0"/>
          <w:iCs w:val="0"/>
          <w:color w:val="000000" w:themeColor="text1"/>
          <w:sz w:val="24"/>
          <w:szCs w:val="24"/>
          <w:u w:val="single"/>
          <w:lang w:val="en-US" w:eastAsia="zh-CN"/>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sz w:val="24"/>
          <w:szCs w:val="24"/>
          <w:lang w:val="zh-CN" w:eastAsia="zh-CN" w:bidi="zh-CN"/>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承建（承接）企业为</w:t>
      </w:r>
      <w:r>
        <w:rPr>
          <w:rFonts w:hint="eastAsia" w:ascii="宋体" w:hAnsi="宋体" w:eastAsia="宋体" w:cs="宋体"/>
          <w:i w:val="0"/>
          <w:iCs w:val="0"/>
          <w:color w:val="000000" w:themeColor="text1"/>
          <w:sz w:val="24"/>
          <w:szCs w:val="24"/>
          <w:u w:val="single"/>
          <w14:textFill>
            <w14:solidFill>
              <w14:schemeClr w14:val="tx1"/>
            </w14:solidFill>
          </w14:textFill>
        </w:rPr>
        <w:t>（企业名称）</w:t>
      </w:r>
      <w:r>
        <w:rPr>
          <w:rFonts w:hint="eastAsia" w:ascii="宋体" w:hAnsi="宋体" w:eastAsia="宋体" w:cs="宋体"/>
          <w:i w:val="0"/>
          <w:iCs w:val="0"/>
          <w:color w:val="000000" w:themeColor="text1"/>
          <w:sz w:val="24"/>
          <w:szCs w:val="24"/>
          <w14:textFill>
            <w14:solidFill>
              <w14:schemeClr w14:val="tx1"/>
            </w14:solidFill>
          </w14:textFill>
        </w:rPr>
        <w:t>,从业人员</w:t>
      </w:r>
      <w:r>
        <w:rPr>
          <w:rFonts w:hint="eastAsia"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人，营业收入为</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万元，资产总额为</w:t>
      </w:r>
      <w:r>
        <w:rPr>
          <w:rFonts w:hint="eastAsia" w:ascii="宋体" w:hAnsi="宋体" w:eastAsia="宋体" w:cs="宋体"/>
          <w:i w:val="0"/>
          <w:iCs w:val="0"/>
          <w:color w:val="000000" w:themeColor="text1"/>
          <w:sz w:val="24"/>
          <w:szCs w:val="24"/>
          <w:u w:val="single"/>
          <w14:textFill>
            <w14:solidFill>
              <w14:schemeClr w14:val="tx1"/>
            </w14:solidFill>
          </w14:textFill>
        </w:rPr>
        <w:tab/>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万元</w:t>
      </w:r>
      <w:r>
        <w:rPr>
          <w:rFonts w:hint="eastAsia" w:ascii="宋体" w:hAnsi="宋体" w:eastAsia="宋体" w:cs="宋体"/>
          <w:i w:val="0"/>
          <w:iCs w:val="0"/>
          <w:color w:val="000000" w:themeColor="text1"/>
          <w:sz w:val="24"/>
          <w:szCs w:val="24"/>
          <w:lang w:val="en-US" w:eastAsia="zh-CN" w:bidi="en-US"/>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属于</w:t>
      </w:r>
      <w:r>
        <w:rPr>
          <w:rFonts w:hint="eastAsia"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14:textFill>
            <w14:solidFill>
              <w14:schemeClr w14:val="tx1"/>
            </w14:solidFill>
          </w14:textFill>
        </w:rPr>
        <w:t>（中型企业、 小型企业、微型企业）</w:t>
      </w:r>
      <w:r>
        <w:rPr>
          <w:rFonts w:hint="eastAsia" w:ascii="宋体" w:hAnsi="宋体" w:eastAsia="宋体" w:cs="宋体"/>
          <w:i w:val="0"/>
          <w:iCs w:val="0"/>
          <w:color w:val="000000" w:themeColor="text1"/>
          <w:sz w:val="24"/>
          <w:szCs w:val="24"/>
          <w14:textFill>
            <w14:solidFill>
              <w14:schemeClr w14:val="tx1"/>
            </w14:solidFill>
          </w14:textFill>
        </w:rPr>
        <w:t>；</w:t>
      </w:r>
    </w:p>
    <w:p w14:paraId="361CC71C">
      <w:pPr>
        <w:pStyle w:val="118"/>
        <w:keepNext w:val="0"/>
        <w:keepLines w:val="0"/>
        <w:pageBreakBefore w:val="0"/>
        <w:widowControl/>
        <w:numPr>
          <w:ilvl w:val="0"/>
          <w:numId w:val="0"/>
        </w:numPr>
        <w:tabs>
          <w:tab w:val="left" w:pos="1234"/>
          <w:tab w:val="left" w:pos="4588"/>
        </w:tabs>
        <w:kinsoku/>
        <w:wordWrap/>
        <w:overflowPunct/>
        <w:topLinePunct w:val="0"/>
        <w:autoSpaceDE/>
        <w:autoSpaceDN/>
        <w:bidi w:val="0"/>
        <w:adjustRightInd/>
        <w:snapToGrid/>
        <w:spacing w:line="500" w:lineRule="exact"/>
        <w:ind w:left="0" w:leftChars="0" w:firstLine="480" w:firstLineChars="200"/>
        <w:jc w:val="both"/>
        <w:textAlignment w:val="baseline"/>
        <w:rPr>
          <w:rFonts w:hint="eastAsia" w:ascii="宋体" w:hAnsi="宋体" w:eastAsia="宋体" w:cs="宋体"/>
          <w:i w:val="0"/>
          <w:iCs w:val="0"/>
          <w:color w:val="000000" w:themeColor="text1"/>
          <w:sz w:val="24"/>
          <w:szCs w:val="24"/>
          <w14:textFill>
            <w14:solidFill>
              <w14:schemeClr w14:val="tx1"/>
            </w14:solidFill>
          </w14:textFill>
        </w:rPr>
      </w:pPr>
      <w:bookmarkStart w:id="106" w:name="bookmark27"/>
      <w:bookmarkEnd w:id="106"/>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2.</w:t>
      </w:r>
      <w:r>
        <w:rPr>
          <w:rFonts w:hint="eastAsia" w:cs="宋体"/>
          <w:i w:val="0"/>
          <w:iCs w:val="0"/>
          <w:color w:val="000000" w:themeColor="text1"/>
          <w:sz w:val="24"/>
          <w:szCs w:val="24"/>
          <w:u w:val="single"/>
          <w:lang w:eastAsia="zh-CN"/>
          <w14:textFill>
            <w14:solidFill>
              <w14:schemeClr w14:val="tx1"/>
            </w14:solidFill>
          </w14:textFill>
        </w:rPr>
        <w:t>郑州市自然资源和规划局高新分局不动产登记和房地产交易中心档案整理项目</w:t>
      </w:r>
      <w:r>
        <w:rPr>
          <w:rFonts w:hint="eastAsia" w:ascii="宋体" w:hAnsi="宋体" w:eastAsia="宋体" w:cs="宋体"/>
          <w:i w:val="0"/>
          <w:iCs w:val="0"/>
          <w:color w:val="000000" w:themeColor="text1"/>
          <w:sz w:val="24"/>
          <w:szCs w:val="24"/>
          <w14:textFill>
            <w14:solidFill>
              <w14:schemeClr w14:val="tx1"/>
            </w14:solidFill>
          </w14:textFill>
        </w:rPr>
        <w:t>,属于</w:t>
      </w:r>
      <w:r>
        <w:rPr>
          <w:rFonts w:hint="eastAsia" w:cs="宋体"/>
          <w:i w:val="0"/>
          <w:iCs w:val="0"/>
          <w:color w:val="000000" w:themeColor="text1"/>
          <w:sz w:val="24"/>
          <w:szCs w:val="24"/>
          <w:u w:val="single"/>
          <w:lang w:val="en-US" w:eastAsia="zh-CN"/>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sz w:val="24"/>
          <w:szCs w:val="24"/>
          <w:lang w:val="zh-CN" w:eastAsia="zh-CN" w:bidi="zh-CN"/>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承建（承接）企业为</w:t>
      </w:r>
      <w:r>
        <w:rPr>
          <w:rFonts w:hint="eastAsia" w:ascii="宋体" w:hAnsi="宋体" w:eastAsia="宋体" w:cs="宋体"/>
          <w:i w:val="0"/>
          <w:iCs w:val="0"/>
          <w:color w:val="000000" w:themeColor="text1"/>
          <w:sz w:val="24"/>
          <w:szCs w:val="24"/>
          <w:u w:val="single"/>
          <w14:textFill>
            <w14:solidFill>
              <w14:schemeClr w14:val="tx1"/>
            </w14:solidFill>
          </w14:textFill>
        </w:rPr>
        <w:t>（企业名称）</w:t>
      </w:r>
      <w:r>
        <w:rPr>
          <w:rFonts w:hint="eastAsia" w:ascii="宋体" w:hAnsi="宋体" w:eastAsia="宋体" w:cs="宋体"/>
          <w:i w:val="0"/>
          <w:iCs w:val="0"/>
          <w:color w:val="000000" w:themeColor="text1"/>
          <w:sz w:val="24"/>
          <w:szCs w:val="24"/>
          <w14:textFill>
            <w14:solidFill>
              <w14:schemeClr w14:val="tx1"/>
            </w14:solidFill>
          </w14:textFill>
        </w:rPr>
        <w:t>,从业人员</w:t>
      </w:r>
      <w:r>
        <w:rPr>
          <w:rFonts w:hint="eastAsia"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人，营业收入为</w:t>
      </w:r>
      <w:r>
        <w:rPr>
          <w:rFonts w:hint="eastAsia"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万元，资产总额为</w:t>
      </w:r>
      <w:r>
        <w:rPr>
          <w:rFonts w:hint="eastAsia" w:ascii="宋体" w:hAnsi="宋体" w:eastAsia="宋体" w:cs="宋体"/>
          <w:i w:val="0"/>
          <w:iCs w:val="0"/>
          <w:color w:val="000000" w:themeColor="text1"/>
          <w:sz w:val="24"/>
          <w:szCs w:val="24"/>
          <w:u w:val="single"/>
          <w14:textFill>
            <w14:solidFill>
              <w14:schemeClr w14:val="tx1"/>
            </w14:solidFill>
          </w14:textFill>
        </w:rPr>
        <w:tab/>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万元</w:t>
      </w:r>
      <w:r>
        <w:rPr>
          <w:rFonts w:hint="eastAsia" w:ascii="宋体" w:hAnsi="宋体" w:eastAsia="宋体" w:cs="宋体"/>
          <w:i w:val="0"/>
          <w:iCs w:val="0"/>
          <w:color w:val="000000" w:themeColor="text1"/>
          <w:sz w:val="24"/>
          <w:szCs w:val="24"/>
          <w:lang w:val="en-US" w:eastAsia="zh-CN" w:bidi="en-US"/>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属于</w:t>
      </w:r>
      <w:r>
        <w:rPr>
          <w:rFonts w:hint="eastAsia" w:cs="宋体"/>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14:textFill>
            <w14:solidFill>
              <w14:schemeClr w14:val="tx1"/>
            </w14:solidFill>
          </w14:textFill>
        </w:rPr>
        <w:t>（中型企业、 小型企业、微型企业）</w:t>
      </w:r>
      <w:r>
        <w:rPr>
          <w:rFonts w:hint="eastAsia" w:ascii="宋体" w:hAnsi="宋体" w:eastAsia="宋体" w:cs="宋体"/>
          <w:i w:val="0"/>
          <w:iCs w:val="0"/>
          <w:color w:val="000000" w:themeColor="text1"/>
          <w:sz w:val="24"/>
          <w:szCs w:val="24"/>
          <w14:textFill>
            <w14:solidFill>
              <w14:schemeClr w14:val="tx1"/>
            </w14:solidFill>
          </w14:textFill>
        </w:rPr>
        <w:t>；</w:t>
      </w:r>
    </w:p>
    <w:p w14:paraId="169F0DF4">
      <w:pPr>
        <w:pStyle w:val="118"/>
        <w:keepNext w:val="0"/>
        <w:keepLines w:val="0"/>
        <w:pageBreakBefore w:val="0"/>
        <w:widowControl/>
        <w:tabs>
          <w:tab w:val="left" w:pos="1234"/>
          <w:tab w:val="left" w:pos="7008"/>
        </w:tabs>
        <w:kinsoku/>
        <w:wordWrap/>
        <w:overflowPunct/>
        <w:topLinePunct w:val="0"/>
        <w:autoSpaceDE/>
        <w:autoSpaceDN/>
        <w:bidi w:val="0"/>
        <w:adjustRightInd/>
        <w:snapToGrid/>
        <w:spacing w:line="500" w:lineRule="exact"/>
        <w:ind w:left="0" w:leftChars="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7BDC0872">
      <w:pPr>
        <w:pStyle w:val="118"/>
        <w:keepNext w:val="0"/>
        <w:keepLines w:val="0"/>
        <w:pageBreakBefore w:val="0"/>
        <w:widowControl/>
        <w:kinsoku/>
        <w:wordWrap/>
        <w:overflowPunct/>
        <w:topLinePunct w:val="0"/>
        <w:autoSpaceDE/>
        <w:autoSpaceDN/>
        <w:bidi w:val="0"/>
        <w:adjustRightInd/>
        <w:snapToGrid/>
        <w:spacing w:line="500" w:lineRule="exact"/>
        <w:ind w:left="0" w:leftChars="0" w:firstLine="66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4C242868">
      <w:pPr>
        <w:pStyle w:val="119"/>
        <w:keepNext w:val="0"/>
        <w:keepLines w:val="0"/>
        <w:pageBreakBefore w:val="0"/>
        <w:widowControl/>
        <w:kinsoku/>
        <w:wordWrap/>
        <w:overflowPunct/>
        <w:topLinePunct w:val="0"/>
        <w:autoSpaceDE/>
        <w:autoSpaceDN/>
        <w:bidi w:val="0"/>
        <w:adjustRightInd/>
        <w:snapToGrid/>
        <w:spacing w:line="500" w:lineRule="exact"/>
        <w:ind w:left="0" w:leftChars="0" w:firstLine="720" w:firstLineChars="3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14:paraId="38323EE2">
      <w:pPr>
        <w:pStyle w:val="119"/>
        <w:keepNext w:val="0"/>
        <w:keepLines w:val="0"/>
        <w:pageBreakBefore w:val="0"/>
        <w:widowControl/>
        <w:kinsoku/>
        <w:wordWrap/>
        <w:overflowPunct/>
        <w:topLinePunct w:val="0"/>
        <w:autoSpaceDE/>
        <w:autoSpaceDN/>
        <w:bidi w:val="0"/>
        <w:adjustRightInd/>
        <w:snapToGrid/>
        <w:spacing w:line="500" w:lineRule="exact"/>
        <w:ind w:left="0" w:leftChars="0" w:firstLine="495"/>
        <w:textAlignment w:val="baseline"/>
        <w:rPr>
          <w:rFonts w:hint="eastAsia" w:ascii="宋体" w:hAnsi="宋体" w:eastAsia="宋体" w:cs="宋体"/>
          <w:color w:val="000000" w:themeColor="text1"/>
          <w:sz w:val="24"/>
          <w:szCs w:val="24"/>
          <w14:textFill>
            <w14:solidFill>
              <w14:schemeClr w14:val="tx1"/>
            </w14:solidFill>
          </w14:textFill>
        </w:rPr>
      </w:pPr>
    </w:p>
    <w:p w14:paraId="64E1696E">
      <w:pPr>
        <w:pStyle w:val="118"/>
        <w:keepNext w:val="0"/>
        <w:keepLines w:val="0"/>
        <w:pageBreakBefore w:val="0"/>
        <w:widowControl/>
        <w:kinsoku/>
        <w:wordWrap/>
        <w:overflowPunct/>
        <w:topLinePunct w:val="0"/>
        <w:autoSpaceDE/>
        <w:autoSpaceDN/>
        <w:bidi w:val="0"/>
        <w:adjustRightInd/>
        <w:snapToGrid/>
        <w:spacing w:line="500" w:lineRule="exact"/>
        <w:ind w:left="0" w:leftChars="0" w:firstLine="5121" w:firstLineChars="2134"/>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供应商（企业电子签章）：</w:t>
      </w:r>
    </w:p>
    <w:p w14:paraId="0F8BA6CB">
      <w:pPr>
        <w:pStyle w:val="118"/>
        <w:keepNext w:val="0"/>
        <w:keepLines w:val="0"/>
        <w:pageBreakBefore w:val="0"/>
        <w:widowControl/>
        <w:kinsoku/>
        <w:wordWrap/>
        <w:overflowPunct/>
        <w:topLinePunct w:val="0"/>
        <w:autoSpaceDE/>
        <w:autoSpaceDN/>
        <w:bidi w:val="0"/>
        <w:adjustRightInd/>
        <w:snapToGrid/>
        <w:spacing w:line="500" w:lineRule="exact"/>
        <w:ind w:left="0" w:leftChars="0" w:firstLine="5121" w:firstLineChars="2134"/>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1FB5D9D4">
      <w:pPr>
        <w:pStyle w:val="54"/>
        <w:keepNext w:val="0"/>
        <w:keepLines w:val="0"/>
        <w:pageBreakBefore w:val="0"/>
        <w:widowControl/>
        <w:kinsoku/>
        <w:wordWrap/>
        <w:overflowPunct/>
        <w:topLinePunct w:val="0"/>
        <w:autoSpaceDE/>
        <w:autoSpaceDN/>
        <w:bidi w:val="0"/>
        <w:adjustRightInd/>
        <w:snapToGrid/>
        <w:spacing w:line="500" w:lineRule="exact"/>
        <w:ind w:left="0" w:leftChars="0" w:firstLine="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从业人员、营业收入、资产总额填报上一年度数据，无上一年度数据的新成立企业可不填报。</w:t>
      </w:r>
    </w:p>
    <w:p w14:paraId="47A273B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0F1BD1D0">
      <w:pPr>
        <w:keepNext w:val="0"/>
        <w:keepLines w:val="0"/>
        <w:pageBreakBefore w:val="0"/>
        <w:widowControl/>
        <w:kinsoku/>
        <w:overflowPunct/>
        <w:topLinePunct w:val="0"/>
        <w:autoSpaceDE/>
        <w:autoSpaceDN/>
        <w:bidi w:val="0"/>
        <w:adjustRightInd/>
        <w:snapToGrid/>
        <w:spacing w:after="0" w:line="500" w:lineRule="exact"/>
        <w:jc w:val="center"/>
        <w:textAlignment w:val="baseline"/>
        <w:rPr>
          <w:rFonts w:ascii="宋体" w:hAnsi="宋体" w:cs="宋体"/>
          <w:b/>
          <w:bCs/>
          <w:sz w:val="24"/>
          <w:szCs w:val="24"/>
        </w:rPr>
      </w:pPr>
      <w:r>
        <w:rPr>
          <w:rFonts w:hint="eastAsia" w:ascii="宋体" w:hAnsi="宋体" w:cs="宋体"/>
          <w:b/>
          <w:bCs/>
          <w:sz w:val="24"/>
          <w:szCs w:val="24"/>
        </w:rPr>
        <w:t>残疾人福利性单位声明函（若是</w:t>
      </w:r>
      <w:r>
        <w:rPr>
          <w:rFonts w:hint="eastAsia" w:cs="宋体"/>
          <w:b/>
          <w:bCs/>
          <w:sz w:val="24"/>
          <w:szCs w:val="24"/>
          <w:lang w:eastAsia="zh-CN"/>
        </w:rPr>
        <w:t>，</w:t>
      </w:r>
      <w:r>
        <w:rPr>
          <w:rFonts w:hint="eastAsia" w:cs="宋体"/>
          <w:b/>
          <w:bCs/>
          <w:sz w:val="24"/>
          <w:szCs w:val="24"/>
          <w:lang w:val="en-US" w:eastAsia="zh-CN"/>
        </w:rPr>
        <w:t>不是的可以不提供</w:t>
      </w:r>
      <w:r>
        <w:rPr>
          <w:rFonts w:hint="eastAsia" w:ascii="宋体" w:hAnsi="宋体" w:cs="宋体"/>
          <w:b/>
          <w:bCs/>
          <w:sz w:val="24"/>
          <w:szCs w:val="24"/>
        </w:rPr>
        <w:t>）</w:t>
      </w:r>
    </w:p>
    <w:p w14:paraId="65416DDE">
      <w:pPr>
        <w:keepNext w:val="0"/>
        <w:keepLines w:val="0"/>
        <w:pageBreakBefore w:val="0"/>
        <w:widowControl/>
        <w:kinsoku/>
        <w:overflowPunct/>
        <w:topLinePunct w:val="0"/>
        <w:autoSpaceDE/>
        <w:autoSpaceDN/>
        <w:bidi w:val="0"/>
        <w:adjustRightInd/>
        <w:snapToGrid/>
        <w:spacing w:after="0" w:line="500" w:lineRule="exact"/>
        <w:jc w:val="center"/>
        <w:textAlignment w:val="baseline"/>
        <w:rPr>
          <w:rFonts w:ascii="宋体" w:hAnsi="宋体" w:cs="宋体"/>
          <w:b/>
          <w:bCs/>
          <w:sz w:val="24"/>
          <w:szCs w:val="24"/>
        </w:rPr>
      </w:pPr>
    </w:p>
    <w:p w14:paraId="31A29AE0">
      <w:pPr>
        <w:keepNext w:val="0"/>
        <w:keepLines w:val="0"/>
        <w:pageBreakBefore w:val="0"/>
        <w:widowControl/>
        <w:kinsoku/>
        <w:overflowPunct/>
        <w:topLinePunct w:val="0"/>
        <w:autoSpaceDE/>
        <w:autoSpaceDN/>
        <w:bidi w:val="0"/>
        <w:adjustRightInd/>
        <w:snapToGrid/>
        <w:spacing w:after="0" w:line="500" w:lineRule="exact"/>
        <w:ind w:firstLine="480" w:firstLineChars="200"/>
        <w:textAlignment w:val="baseline"/>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883B26">
      <w:pPr>
        <w:keepNext w:val="0"/>
        <w:keepLines w:val="0"/>
        <w:pageBreakBefore w:val="0"/>
        <w:widowControl/>
        <w:kinsoku/>
        <w:overflowPunct/>
        <w:topLinePunct w:val="0"/>
        <w:autoSpaceDE/>
        <w:autoSpaceDN/>
        <w:bidi w:val="0"/>
        <w:adjustRightInd/>
        <w:snapToGrid/>
        <w:spacing w:after="0" w:line="500" w:lineRule="exact"/>
        <w:ind w:firstLine="480" w:firstLineChars="200"/>
        <w:textAlignment w:val="baseline"/>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0D62A533">
      <w:pPr>
        <w:keepNext w:val="0"/>
        <w:keepLines w:val="0"/>
        <w:pageBreakBefore w:val="0"/>
        <w:widowControl/>
        <w:kinsoku/>
        <w:overflowPunct/>
        <w:topLinePunct w:val="0"/>
        <w:autoSpaceDE/>
        <w:autoSpaceDN/>
        <w:bidi w:val="0"/>
        <w:adjustRightInd/>
        <w:snapToGrid/>
        <w:spacing w:after="0" w:line="500" w:lineRule="exact"/>
        <w:textAlignment w:val="baseline"/>
        <w:rPr>
          <w:rFonts w:ascii="宋体" w:hAnsi="宋体" w:cs="宋体"/>
          <w:sz w:val="24"/>
          <w:szCs w:val="24"/>
        </w:rPr>
      </w:pPr>
    </w:p>
    <w:p w14:paraId="0294CB54">
      <w:pPr>
        <w:keepNext w:val="0"/>
        <w:keepLines w:val="0"/>
        <w:pageBreakBefore w:val="0"/>
        <w:widowControl/>
        <w:kinsoku/>
        <w:overflowPunct/>
        <w:topLinePunct w:val="0"/>
        <w:autoSpaceDE/>
        <w:autoSpaceDN/>
        <w:bidi w:val="0"/>
        <w:adjustRightInd/>
        <w:snapToGrid/>
        <w:spacing w:after="0" w:line="500" w:lineRule="exact"/>
        <w:textAlignment w:val="baseline"/>
        <w:rPr>
          <w:rFonts w:ascii="宋体" w:hAnsi="宋体" w:cs="宋体"/>
          <w:sz w:val="24"/>
          <w:szCs w:val="24"/>
        </w:rPr>
      </w:pPr>
    </w:p>
    <w:p w14:paraId="5CEBA89A">
      <w:pPr>
        <w:keepNext w:val="0"/>
        <w:keepLines w:val="0"/>
        <w:pageBreakBefore w:val="0"/>
        <w:widowControl/>
        <w:kinsoku/>
        <w:overflowPunct/>
        <w:topLinePunct w:val="0"/>
        <w:autoSpaceDE/>
        <w:autoSpaceDN/>
        <w:bidi w:val="0"/>
        <w:adjustRightInd/>
        <w:snapToGrid/>
        <w:spacing w:after="0" w:line="500" w:lineRule="exact"/>
        <w:textAlignment w:val="baseline"/>
        <w:rPr>
          <w:rFonts w:ascii="宋体" w:hAnsi="宋体" w:cs="宋体"/>
          <w:sz w:val="24"/>
          <w:szCs w:val="24"/>
        </w:rPr>
      </w:pPr>
    </w:p>
    <w:p w14:paraId="2D815A38">
      <w:pPr>
        <w:keepNext w:val="0"/>
        <w:keepLines w:val="0"/>
        <w:pageBreakBefore w:val="0"/>
        <w:widowControl/>
        <w:kinsoku/>
        <w:wordWrap w:val="0"/>
        <w:overflowPunct/>
        <w:topLinePunct w:val="0"/>
        <w:autoSpaceDE/>
        <w:autoSpaceDN/>
        <w:bidi w:val="0"/>
        <w:adjustRightInd/>
        <w:snapToGrid/>
        <w:spacing w:after="0" w:line="500" w:lineRule="exact"/>
        <w:jc w:val="right"/>
        <w:textAlignment w:val="baseline"/>
        <w:rPr>
          <w:rFonts w:ascii="宋体" w:hAnsi="宋体" w:cs="宋体"/>
          <w:sz w:val="24"/>
          <w:szCs w:val="24"/>
        </w:rPr>
      </w:pPr>
      <w:r>
        <w:rPr>
          <w:rFonts w:hint="eastAsia" w:cs="宋体"/>
          <w:sz w:val="24"/>
          <w:szCs w:val="24"/>
          <w:lang w:val="en-US" w:eastAsia="zh-CN"/>
        </w:rPr>
        <w:t>供应商</w:t>
      </w:r>
      <w:r>
        <w:rPr>
          <w:rFonts w:hint="eastAsia" w:ascii="宋体" w:hAnsi="宋体" w:cs="宋体"/>
          <w:sz w:val="24"/>
          <w:szCs w:val="24"/>
        </w:rPr>
        <w:t>（盖章）：</w:t>
      </w:r>
      <w:r>
        <w:rPr>
          <w:rFonts w:hint="eastAsia" w:ascii="宋体" w:hAnsi="宋体" w:cs="宋体"/>
          <w:sz w:val="24"/>
          <w:szCs w:val="24"/>
          <w:u w:val="single"/>
        </w:rPr>
        <w:t xml:space="preserve">                      </w:t>
      </w:r>
    </w:p>
    <w:p w14:paraId="68195E3F">
      <w:pPr>
        <w:keepNext w:val="0"/>
        <w:keepLines w:val="0"/>
        <w:pageBreakBefore w:val="0"/>
        <w:widowControl/>
        <w:kinsoku/>
        <w:overflowPunct/>
        <w:topLinePunct w:val="0"/>
        <w:autoSpaceDE/>
        <w:autoSpaceDN/>
        <w:bidi w:val="0"/>
        <w:adjustRightInd/>
        <w:snapToGrid/>
        <w:spacing w:after="0" w:line="500" w:lineRule="exact"/>
        <w:jc w:val="right"/>
        <w:textAlignment w:val="baseline"/>
        <w:rPr>
          <w:rFonts w:ascii="宋体" w:hAnsi="宋体" w:cs="宋体"/>
          <w:sz w:val="24"/>
          <w:szCs w:val="24"/>
        </w:rPr>
      </w:pPr>
      <w:r>
        <w:rPr>
          <w:rFonts w:hint="eastAsia" w:ascii="宋体" w:hAnsi="宋体" w:cs="宋体"/>
          <w:sz w:val="24"/>
          <w:szCs w:val="24"/>
        </w:rPr>
        <w:t>日  期：     年     月     日</w:t>
      </w:r>
    </w:p>
    <w:p w14:paraId="62B55A14">
      <w:pPr>
        <w:jc w:val="center"/>
        <w:rPr>
          <w:rFonts w:ascii="宋体" w:hAnsi="宋体" w:cs="宋体"/>
          <w:b/>
          <w:bCs/>
          <w:sz w:val="32"/>
          <w:szCs w:val="32"/>
        </w:rPr>
      </w:pPr>
      <w:r>
        <w:rPr>
          <w:rFonts w:hint="eastAsia" w:ascii="宋体" w:hAnsi="宋体" w:cs="宋体"/>
        </w:rPr>
        <w:br w:type="page"/>
      </w:r>
    </w:p>
    <w:p w14:paraId="030BDD0E">
      <w:pPr>
        <w:jc w:val="center"/>
        <w:rPr>
          <w:rFonts w:asciiTheme="minorEastAsia" w:hAnsiTheme="minorEastAsia" w:eastAsiaTheme="minorEastAsia" w:cstheme="minorEastAsia"/>
          <w:b/>
          <w:bCs/>
          <w:kern w:val="0"/>
          <w:sz w:val="24"/>
          <w:szCs w:val="24"/>
          <w:lang w:bidi="ar"/>
        </w:rPr>
      </w:pPr>
      <w:r>
        <w:rPr>
          <w:rFonts w:hint="eastAsia" w:ascii="宋体" w:hAnsi="宋体" w:cs="宋体"/>
          <w:b/>
          <w:bCs/>
          <w:kern w:val="0"/>
          <w:sz w:val="24"/>
          <w:szCs w:val="24"/>
        </w:rPr>
        <w:t>监狱企业证明文件（若是，不是的可以不提供）</w:t>
      </w:r>
    </w:p>
    <w:p w14:paraId="5DCEFDD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5A67CC88">
      <w:pPr>
        <w:pStyle w:val="7"/>
        <w:spacing w:line="440" w:lineRule="exact"/>
        <w:rPr>
          <w:rFonts w:hint="eastAsia" w:ascii="宋体" w:hAnsi="宋体" w:eastAsia="宋体" w:cs="宋体"/>
          <w:b/>
          <w:bCs/>
          <w:color w:val="auto"/>
          <w:kern w:val="2"/>
          <w:sz w:val="28"/>
          <w:szCs w:val="28"/>
          <w:lang w:val="en-US" w:eastAsia="zh-CN" w:bidi="ar-SA"/>
        </w:rPr>
      </w:pPr>
      <w:bookmarkStart w:id="107" w:name="_Toc9990"/>
      <w:bookmarkStart w:id="108" w:name="_Toc16442"/>
      <w:bookmarkStart w:id="109" w:name="_Toc19949"/>
      <w:bookmarkStart w:id="110" w:name="_Toc26033"/>
      <w:r>
        <w:rPr>
          <w:rFonts w:hint="eastAsia" w:cs="宋体"/>
          <w:b/>
          <w:bCs/>
          <w:color w:val="auto"/>
          <w:kern w:val="2"/>
          <w:sz w:val="28"/>
          <w:szCs w:val="28"/>
          <w:lang w:val="en-US" w:eastAsia="zh-CN" w:bidi="ar-SA"/>
        </w:rPr>
        <w:t>十一、供应商</w:t>
      </w:r>
      <w:r>
        <w:rPr>
          <w:rFonts w:hint="eastAsia" w:ascii="宋体" w:hAnsi="宋体" w:eastAsia="宋体" w:cs="宋体"/>
          <w:b/>
          <w:bCs/>
          <w:color w:val="auto"/>
          <w:kern w:val="2"/>
          <w:sz w:val="28"/>
          <w:szCs w:val="28"/>
          <w:lang w:val="en-US" w:eastAsia="zh-CN" w:bidi="ar-SA"/>
        </w:rPr>
        <w:t>认为有必要提供的其它资料</w:t>
      </w:r>
      <w:bookmarkEnd w:id="107"/>
      <w:bookmarkEnd w:id="108"/>
      <w:bookmarkEnd w:id="109"/>
      <w:bookmarkEnd w:id="110"/>
    </w:p>
    <w:p w14:paraId="70ABB980">
      <w:pPr>
        <w:pageBreakBefore w:val="0"/>
        <w:kinsoku/>
        <w:wordWrap/>
        <w:overflowPunct/>
        <w:autoSpaceDE/>
        <w:autoSpaceDN/>
        <w:bidi w:val="0"/>
        <w:spacing w:after="0" w:line="560" w:lineRule="exact"/>
        <w:rPr>
          <w:rStyle w:val="97"/>
          <w:color w:val="auto"/>
          <w:sz w:val="24"/>
          <w:szCs w:val="24"/>
          <w:highlight w:val="none"/>
        </w:rPr>
      </w:pPr>
    </w:p>
    <w:sectPr>
      <w:headerReference r:id="rId5" w:type="default"/>
      <w:footerReference r:id="rId6" w:type="default"/>
      <w:pgSz w:w="11911" w:h="16838"/>
      <w:pgMar w:top="1304" w:right="1417" w:bottom="1134" w:left="1417" w:header="680" w:footer="709" w:gutter="0"/>
      <w:pgBorders>
        <w:top w:val="none" w:sz="0" w:space="0"/>
        <w:left w:val="none" w:sz="0" w:space="0"/>
        <w:bottom w:val="single" w:color="auto" w:sz="4" w:space="1"/>
        <w:right w:val="none" w:sz="0" w:space="0"/>
      </w:pgBorders>
      <w:pgNumType w:fmt="decimal"/>
      <w:cols w:space="720" w:num="1"/>
      <w:docGrid w:linePitch="5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D71F">
    <w:pPr>
      <w:pStyle w:val="17"/>
      <w:rPr>
        <w:rStyle w:val="97"/>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3738880</wp:posOffset>
              </wp:positionH>
              <wp:positionV relativeFrom="paragraph">
                <wp:posOffset>1437640</wp:posOffset>
              </wp:positionV>
              <wp:extent cx="2025015" cy="391160"/>
              <wp:effectExtent l="0" t="0" r="0" b="0"/>
              <wp:wrapNone/>
              <wp:docPr id="2" name="4098"/>
              <wp:cNvGraphicFramePr/>
              <a:graphic xmlns:a="http://schemas.openxmlformats.org/drawingml/2006/main">
                <a:graphicData uri="http://schemas.microsoft.com/office/word/2010/wordprocessingShape">
                  <wps:wsp>
                    <wps:cNvSpPr/>
                    <wps:spPr>
                      <a:xfrm>
                        <a:off x="0" y="0"/>
                        <a:ext cx="2025015" cy="391160"/>
                      </a:xfrm>
                      <a:prstGeom prst="rect">
                        <a:avLst/>
                      </a:prstGeom>
                      <a:noFill/>
                      <a:ln>
                        <a:noFill/>
                      </a:ln>
                    </wps:spPr>
                    <wps:txbx>
                      <w:txbxContent>
                        <w:p w14:paraId="28939134">
                          <w:pPr>
                            <w:pStyle w:val="17"/>
                            <w:rPr>
                              <w:rStyle w:val="97"/>
                            </w:rPr>
                          </w:pPr>
                        </w:p>
                        <w:p w14:paraId="727ACD76">
                          <w:pPr>
                            <w:rPr>
                              <w:rStyle w:val="97"/>
                            </w:rPr>
                          </w:pPr>
                        </w:p>
                      </w:txbxContent>
                    </wps:txbx>
                    <wps:bodyPr lIns="0" tIns="0" rIns="0" bIns="0" upright="1"/>
                  </wps:wsp>
                </a:graphicData>
              </a:graphic>
            </wp:anchor>
          </w:drawing>
        </mc:Choice>
        <mc:Fallback>
          <w:pict>
            <v:rect id="4098" o:spid="_x0000_s1026" o:spt="1" style="position:absolute;left:0pt;margin-left:294.4pt;margin-top:113.2pt;height:30.8pt;width:159.45pt;mso-position-horizontal-relative:margin;z-index:251659264;mso-width-relative:page;mso-height-relative:page;" filled="f" stroked="f" coordsize="21600,21600" o:gfxdata="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1pHOt2wAAAAsBAAAP&#10;AAAAAAAAAAEAIAAAACIAAABkcnMvZG93bnJldi54bWxQSwECFAAUAAAACACHTuJAzGeaHqMBAABh&#10;AwAADgAAAAAAAAABACAAAAAqAQAAZHJzL2Uyb0RvYy54bWxQSwUGAAAAAAYABgBZAQAAPwUAAAAA&#10;">
              <v:fill on="f" focussize="0,0"/>
              <v:stroke on="f"/>
              <v:imagedata o:title=""/>
              <o:lock v:ext="edit" aspectratio="f"/>
              <v:textbox inset="0mm,0mm,0mm,0mm">
                <w:txbxContent>
                  <w:p w14:paraId="28939134">
                    <w:pPr>
                      <w:pStyle w:val="17"/>
                      <w:rPr>
                        <w:rStyle w:val="97"/>
                      </w:rPr>
                    </w:pPr>
                  </w:p>
                  <w:p w14:paraId="727ACD76">
                    <w:pPr>
                      <w:rPr>
                        <w:rStyle w:val="97"/>
                      </w:rPr>
                    </w:pPr>
                  </w:p>
                </w:txbxContent>
              </v:textbox>
            </v:rect>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DACA6">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DACA6">
                    <w:pPr>
                      <w:pStyle w:val="17"/>
                    </w:pPr>
                    <w:r>
                      <w:fldChar w:fldCharType="begin"/>
                    </w:r>
                    <w:r>
                      <w:instrText xml:space="preserve"> PAGE  \* MERGEFORMAT </w:instrText>
                    </w:r>
                    <w:r>
                      <w:fldChar w:fldCharType="separate"/>
                    </w:r>
                    <w:r>
                      <w:t>- 1 -</w:t>
                    </w:r>
                    <w:r>
                      <w:fldChar w:fldCharType="end"/>
                    </w:r>
                  </w:p>
                </w:txbxContent>
              </v:textbox>
            </v:shape>
          </w:pict>
        </mc:Fallback>
      </mc:AlternateContent>
    </w:r>
    <w:r>
      <w:rPr>
        <w:rStyle w:val="97"/>
        <w:rFonts w:hint="eastAsia"/>
        <w:lang w:eastAsia="zh-CN"/>
      </w:rPr>
      <w:t>郑州市自然资源和规划局高新分局</w:t>
    </w:r>
    <w:r>
      <w:rPr>
        <w:rStyle w:val="97"/>
        <w:rFonts w:hint="eastAsia"/>
        <w:lang w:val="en-US" w:eastAsia="zh-CN"/>
      </w:rPr>
      <w:t xml:space="preserve">                                              </w:t>
    </w:r>
    <w:r>
      <w:rPr>
        <w:rStyle w:val="97"/>
        <w:rFonts w:hint="eastAsia"/>
        <w:lang w:eastAsia="zh-CN"/>
      </w:rPr>
      <w:t>河南标晟项目管理有限公司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D4AA">
    <w:pPr>
      <w:pStyle w:val="18"/>
      <w:pBdr>
        <w:bottom w:val="single" w:color="000000" w:sz="4" w:space="1"/>
      </w:pBdr>
      <w:jc w:val="left"/>
      <w:rPr>
        <w:rStyle w:val="97"/>
      </w:rPr>
    </w:pPr>
    <w:r>
      <w:rPr>
        <w:rStyle w:val="97"/>
        <w:rFonts w:hint="eastAsia"/>
        <w:lang w:eastAsia="zh-CN"/>
      </w:rPr>
      <w:t>郑州市自然资源和规划局高新分局不动产登记和房地产交易中心档案整理项目</w:t>
    </w:r>
    <w:r>
      <w:rPr>
        <w:rStyle w:val="97"/>
        <w:rFonts w:hint="eastAsia"/>
      </w:rPr>
      <w:t xml:space="preserve">    </w:t>
    </w:r>
    <w:r>
      <w:rPr>
        <w:rStyle w:val="97"/>
        <w:rFonts w:hint="eastAsia"/>
        <w:lang w:val="en-US" w:eastAsia="zh-CN"/>
      </w:rPr>
      <w:t xml:space="preserve">           </w:t>
    </w:r>
    <w:r>
      <w:rPr>
        <w:rStyle w:val="97"/>
        <w:rFonts w:hint="eastAsia"/>
      </w:rPr>
      <w:t xml:space="preserve">  </w:t>
    </w:r>
    <w:r>
      <w:rPr>
        <w:rStyle w:val="97"/>
        <w:rFonts w:hint="eastAsia"/>
        <w:lang w:val="en-US" w:eastAsia="zh-CN"/>
      </w:rPr>
      <w:t>竞争性</w:t>
    </w:r>
    <w:r>
      <w:rPr>
        <w:rStyle w:val="97"/>
        <w:rFonts w:hint="eastAsia"/>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rPr>
        <w:rFonts w:cs="Times New Roman"/>
      </w:rPr>
    </w:lvl>
  </w:abstractNum>
  <w:abstractNum w:abstractNumId="1">
    <w:nsid w:val="00000004"/>
    <w:multiLevelType w:val="singleLevel"/>
    <w:tmpl w:val="00000004"/>
    <w:lvl w:ilvl="0" w:tentative="0">
      <w:start w:val="5"/>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isplayHorizontalDrawingGridEvery w:val="1"/>
  <w:displayVerticalDrawingGridEvery w:val="1"/>
  <w:doNotUseMarginsForDrawingGridOrigin w:val="1"/>
  <w:drawingGridHorizontalOrigin w:val="1800"/>
  <w:drawingGridVerticalOrigin w:val="1440"/>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zgwMmY2MmM4MGViMzA3NTJlMjhlNzhhOTU3MjAifQ=="/>
  </w:docVars>
  <w:rsids>
    <w:rsidRoot w:val="00000000"/>
    <w:rsid w:val="00FB4547"/>
    <w:rsid w:val="01154EDD"/>
    <w:rsid w:val="03E07A24"/>
    <w:rsid w:val="05505C29"/>
    <w:rsid w:val="05856AD5"/>
    <w:rsid w:val="06D95818"/>
    <w:rsid w:val="07F963D9"/>
    <w:rsid w:val="087F601A"/>
    <w:rsid w:val="0A90619C"/>
    <w:rsid w:val="0B98010C"/>
    <w:rsid w:val="0BFA53FB"/>
    <w:rsid w:val="0C3457CA"/>
    <w:rsid w:val="0C3C4CF2"/>
    <w:rsid w:val="0D605732"/>
    <w:rsid w:val="0D7A12B9"/>
    <w:rsid w:val="0D992C58"/>
    <w:rsid w:val="0E396BEF"/>
    <w:rsid w:val="0F1E6B07"/>
    <w:rsid w:val="0F430584"/>
    <w:rsid w:val="119447BB"/>
    <w:rsid w:val="121960FF"/>
    <w:rsid w:val="12296843"/>
    <w:rsid w:val="1360594A"/>
    <w:rsid w:val="139D323C"/>
    <w:rsid w:val="149B2DAE"/>
    <w:rsid w:val="157F52EF"/>
    <w:rsid w:val="15EB7294"/>
    <w:rsid w:val="16946A95"/>
    <w:rsid w:val="178169D1"/>
    <w:rsid w:val="18254554"/>
    <w:rsid w:val="18AD2173"/>
    <w:rsid w:val="18F941B3"/>
    <w:rsid w:val="19371A3D"/>
    <w:rsid w:val="1ABF605D"/>
    <w:rsid w:val="1AC6751C"/>
    <w:rsid w:val="1AD80FFE"/>
    <w:rsid w:val="1BEF60E3"/>
    <w:rsid w:val="1C1A0AB9"/>
    <w:rsid w:val="1C2413B7"/>
    <w:rsid w:val="1D4E6E00"/>
    <w:rsid w:val="1D924C74"/>
    <w:rsid w:val="1E6F1C79"/>
    <w:rsid w:val="1F75098A"/>
    <w:rsid w:val="1FA15E62"/>
    <w:rsid w:val="1FA2286A"/>
    <w:rsid w:val="1FB926E2"/>
    <w:rsid w:val="1FFB182A"/>
    <w:rsid w:val="21E45660"/>
    <w:rsid w:val="21E65659"/>
    <w:rsid w:val="22EF50B0"/>
    <w:rsid w:val="23BF6C61"/>
    <w:rsid w:val="241E146F"/>
    <w:rsid w:val="249D7540"/>
    <w:rsid w:val="25812E78"/>
    <w:rsid w:val="25AA2CE7"/>
    <w:rsid w:val="277D0F63"/>
    <w:rsid w:val="278C73F8"/>
    <w:rsid w:val="27B24A4E"/>
    <w:rsid w:val="29E74DB9"/>
    <w:rsid w:val="2A4F4AE7"/>
    <w:rsid w:val="2A834AE2"/>
    <w:rsid w:val="2AEF24AC"/>
    <w:rsid w:val="2C3B2DD7"/>
    <w:rsid w:val="2C3D33B6"/>
    <w:rsid w:val="2CEE645F"/>
    <w:rsid w:val="2DC04E84"/>
    <w:rsid w:val="2EEA5942"/>
    <w:rsid w:val="2FE17E4D"/>
    <w:rsid w:val="3038498C"/>
    <w:rsid w:val="30442F65"/>
    <w:rsid w:val="317653A0"/>
    <w:rsid w:val="32690A61"/>
    <w:rsid w:val="32774F6F"/>
    <w:rsid w:val="336C1446"/>
    <w:rsid w:val="336D75F1"/>
    <w:rsid w:val="34916387"/>
    <w:rsid w:val="37164F30"/>
    <w:rsid w:val="379F6CD3"/>
    <w:rsid w:val="37EE6E7A"/>
    <w:rsid w:val="38451629"/>
    <w:rsid w:val="38A50319"/>
    <w:rsid w:val="39522B50"/>
    <w:rsid w:val="39C20C18"/>
    <w:rsid w:val="3A033549"/>
    <w:rsid w:val="3A3951BD"/>
    <w:rsid w:val="3AAF547F"/>
    <w:rsid w:val="3BF06405"/>
    <w:rsid w:val="3C0B0B36"/>
    <w:rsid w:val="3C9708C1"/>
    <w:rsid w:val="3D0611E4"/>
    <w:rsid w:val="3DC807FE"/>
    <w:rsid w:val="3DCD2D91"/>
    <w:rsid w:val="40984C24"/>
    <w:rsid w:val="40E1035D"/>
    <w:rsid w:val="41391F47"/>
    <w:rsid w:val="41425449"/>
    <w:rsid w:val="42F425C9"/>
    <w:rsid w:val="43120CA1"/>
    <w:rsid w:val="43AD48DE"/>
    <w:rsid w:val="476809D6"/>
    <w:rsid w:val="47AF4D11"/>
    <w:rsid w:val="48C621DB"/>
    <w:rsid w:val="490C1CEF"/>
    <w:rsid w:val="494A767F"/>
    <w:rsid w:val="499E15FE"/>
    <w:rsid w:val="49EC3FFA"/>
    <w:rsid w:val="4B6C28DB"/>
    <w:rsid w:val="4CAA5AA7"/>
    <w:rsid w:val="4CF65190"/>
    <w:rsid w:val="4D4001B9"/>
    <w:rsid w:val="4D573E80"/>
    <w:rsid w:val="4D8E4E1F"/>
    <w:rsid w:val="4E243D34"/>
    <w:rsid w:val="4ED84B4D"/>
    <w:rsid w:val="4F8627FB"/>
    <w:rsid w:val="4FD317B8"/>
    <w:rsid w:val="50046A66"/>
    <w:rsid w:val="50B60EBE"/>
    <w:rsid w:val="514D3A07"/>
    <w:rsid w:val="519C3314"/>
    <w:rsid w:val="51C72E44"/>
    <w:rsid w:val="52751ED8"/>
    <w:rsid w:val="53E73A84"/>
    <w:rsid w:val="53E93358"/>
    <w:rsid w:val="541266A1"/>
    <w:rsid w:val="547C4BB9"/>
    <w:rsid w:val="54AB4AB2"/>
    <w:rsid w:val="565D7406"/>
    <w:rsid w:val="56A70915"/>
    <w:rsid w:val="5705692C"/>
    <w:rsid w:val="579E0D0B"/>
    <w:rsid w:val="57E7304E"/>
    <w:rsid w:val="5939268C"/>
    <w:rsid w:val="59AFE38D"/>
    <w:rsid w:val="5B401418"/>
    <w:rsid w:val="5B8E0122"/>
    <w:rsid w:val="5D6B64F5"/>
    <w:rsid w:val="5DAE42BA"/>
    <w:rsid w:val="5F251374"/>
    <w:rsid w:val="5F877442"/>
    <w:rsid w:val="5FDF485F"/>
    <w:rsid w:val="60031C46"/>
    <w:rsid w:val="621B5576"/>
    <w:rsid w:val="622F1785"/>
    <w:rsid w:val="62C0447F"/>
    <w:rsid w:val="62E62373"/>
    <w:rsid w:val="640727F8"/>
    <w:rsid w:val="645C36D2"/>
    <w:rsid w:val="646808EA"/>
    <w:rsid w:val="64850E7B"/>
    <w:rsid w:val="64FD6C64"/>
    <w:rsid w:val="65740167"/>
    <w:rsid w:val="669878BC"/>
    <w:rsid w:val="66A51361"/>
    <w:rsid w:val="670053AC"/>
    <w:rsid w:val="676304B5"/>
    <w:rsid w:val="680A2AE5"/>
    <w:rsid w:val="688863C4"/>
    <w:rsid w:val="69011A1A"/>
    <w:rsid w:val="69492031"/>
    <w:rsid w:val="69800BED"/>
    <w:rsid w:val="6A3B1913"/>
    <w:rsid w:val="6AE018BA"/>
    <w:rsid w:val="6B3A4FD4"/>
    <w:rsid w:val="6B881251"/>
    <w:rsid w:val="6BA73DCD"/>
    <w:rsid w:val="6C2E10E7"/>
    <w:rsid w:val="6C7946DB"/>
    <w:rsid w:val="6CC2758C"/>
    <w:rsid w:val="6EA91EB1"/>
    <w:rsid w:val="6EEA1354"/>
    <w:rsid w:val="70217BD0"/>
    <w:rsid w:val="71597917"/>
    <w:rsid w:val="71A67164"/>
    <w:rsid w:val="720C498A"/>
    <w:rsid w:val="72577912"/>
    <w:rsid w:val="728F14BC"/>
    <w:rsid w:val="72D85765"/>
    <w:rsid w:val="73C163C0"/>
    <w:rsid w:val="749B071C"/>
    <w:rsid w:val="76852F5D"/>
    <w:rsid w:val="77063297"/>
    <w:rsid w:val="78F95444"/>
    <w:rsid w:val="797B0422"/>
    <w:rsid w:val="7AE2272C"/>
    <w:rsid w:val="7B4E1B6F"/>
    <w:rsid w:val="7BC553D3"/>
    <w:rsid w:val="7C1E464B"/>
    <w:rsid w:val="7C6F0276"/>
    <w:rsid w:val="7CD05447"/>
    <w:rsid w:val="7F041748"/>
    <w:rsid w:val="7FB16B71"/>
    <w:rsid w:val="7FD15598"/>
    <w:rsid w:val="ABF5F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jc w:val="both"/>
      <w:textAlignment w:val="baseline"/>
    </w:pPr>
    <w:rPr>
      <w:rFonts w:ascii="宋体" w:hAnsi="宋体" w:eastAsia="宋体" w:cs="黑体"/>
      <w:color w:val="000000"/>
      <w:kern w:val="2"/>
      <w:sz w:val="28"/>
      <w:szCs w:val="28"/>
      <w:lang w:val="en-US" w:eastAsia="zh-CN" w:bidi="ar-SA"/>
    </w:rPr>
  </w:style>
  <w:style w:type="paragraph" w:styleId="4">
    <w:name w:val="heading 1"/>
    <w:basedOn w:val="1"/>
    <w:next w:val="5"/>
    <w:link w:val="40"/>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adjustRightInd w:val="0"/>
      <w:spacing w:before="120" w:after="120" w:line="160" w:lineRule="atLeast"/>
      <w:jc w:val="center"/>
      <w:textAlignment w:val="baseline"/>
      <w:outlineLvl w:val="1"/>
    </w:pPr>
    <w:rPr>
      <w:rFonts w:ascii="宋体" w:hAnsi="宋体" w:cs="宋体"/>
      <w:b/>
      <w:kern w:val="0"/>
      <w:sz w:val="30"/>
      <w:szCs w:val="20"/>
    </w:rPr>
  </w:style>
  <w:style w:type="paragraph" w:styleId="8">
    <w:name w:val="heading 3"/>
    <w:basedOn w:val="1"/>
    <w:next w:val="1"/>
    <w:qFormat/>
    <w:uiPriority w:val="0"/>
    <w:pPr>
      <w:keepNext/>
      <w:keepLines/>
      <w:outlineLvl w:val="2"/>
    </w:pPr>
    <w:rPr>
      <w:b/>
      <w:bCs/>
      <w:szCs w:val="32"/>
    </w:rPr>
  </w:style>
  <w:style w:type="paragraph" w:styleId="9">
    <w:name w:val="heading 4"/>
    <w:basedOn w:val="1"/>
    <w:next w:val="1"/>
    <w:link w:val="41"/>
    <w:qFormat/>
    <w:uiPriority w:val="0"/>
    <w:pPr>
      <w:keepNext/>
      <w:keepLines/>
      <w:spacing w:before="280" w:after="290" w:line="376" w:lineRule="auto"/>
      <w:outlineLvl w:val="3"/>
    </w:pPr>
    <w:rPr>
      <w:rFonts w:ascii="Cambria" w:hAnsi="Cambria" w:cs="Times New Roman"/>
      <w:b/>
      <w:bCs/>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Body Text"/>
    <w:basedOn w:val="1"/>
    <w:next w:val="3"/>
    <w:link w:val="46"/>
    <w:qFormat/>
    <w:uiPriority w:val="0"/>
  </w:style>
  <w:style w:type="paragraph" w:styleId="3">
    <w:name w:val="Body Text First Indent"/>
    <w:basedOn w:val="2"/>
    <w:next w:val="1"/>
    <w:qFormat/>
    <w:uiPriority w:val="99"/>
    <w:pPr>
      <w:ind w:firstLine="420" w:firstLineChars="100"/>
    </w:pPr>
    <w:rPr>
      <w:sz w:val="24"/>
      <w:szCs w:val="24"/>
    </w:rPr>
  </w:style>
  <w:style w:type="paragraph" w:styleId="5">
    <w:name w:val="Normal Indent"/>
    <w:basedOn w:val="1"/>
    <w:next w:val="6"/>
    <w:qFormat/>
    <w:uiPriority w:val="0"/>
    <w:pPr>
      <w:ind w:firstLine="420" w:firstLineChars="200"/>
    </w:pPr>
  </w:style>
  <w:style w:type="paragraph" w:styleId="6">
    <w:name w:val="Body Text 2"/>
    <w:basedOn w:val="1"/>
    <w:next w:val="2"/>
    <w:qFormat/>
    <w:uiPriority w:val="0"/>
    <w:pPr>
      <w:spacing w:line="360" w:lineRule="auto"/>
    </w:pPr>
    <w:rPr>
      <w:sz w:val="24"/>
      <w:szCs w:val="20"/>
    </w:rPr>
  </w:style>
  <w:style w:type="paragraph" w:styleId="10">
    <w:name w:val="index 8"/>
    <w:basedOn w:val="1"/>
    <w:next w:val="1"/>
    <w:unhideWhenUsed/>
    <w:qFormat/>
    <w:uiPriority w:val="0"/>
    <w:pPr>
      <w:ind w:left="1400" w:leftChars="1400"/>
    </w:pPr>
    <w:rPr>
      <w:szCs w:val="20"/>
    </w:rPr>
  </w:style>
  <w:style w:type="paragraph" w:styleId="11">
    <w:name w:val="annotation text"/>
    <w:basedOn w:val="1"/>
    <w:link w:val="48"/>
    <w:qFormat/>
    <w:uiPriority w:val="0"/>
    <w:pPr>
      <w:jc w:val="left"/>
    </w:pPr>
  </w:style>
  <w:style w:type="paragraph" w:styleId="12">
    <w:name w:val="Body Text Indent"/>
    <w:basedOn w:val="1"/>
    <w:next w:val="13"/>
    <w:qFormat/>
    <w:uiPriority w:val="99"/>
    <w:pPr>
      <w:spacing w:after="120"/>
      <w:ind w:left="420" w:leftChars="200"/>
    </w:pPr>
  </w:style>
  <w:style w:type="paragraph" w:styleId="13">
    <w:name w:val="envelope return"/>
    <w:basedOn w:val="1"/>
    <w:qFormat/>
    <w:uiPriority w:val="0"/>
    <w:pPr>
      <w:snapToGrid w:val="0"/>
    </w:pPr>
    <w:rPr>
      <w:rFonts w:ascii="Arial" w:hAnsi="Arial"/>
    </w:rPr>
  </w:style>
  <w:style w:type="paragraph" w:styleId="14">
    <w:name w:val="List 2"/>
    <w:basedOn w:val="1"/>
    <w:qFormat/>
    <w:uiPriority w:val="0"/>
    <w:pPr>
      <w:spacing w:line="360" w:lineRule="auto"/>
      <w:ind w:left="100" w:leftChars="200" w:hanging="200" w:hangingChars="200"/>
    </w:pPr>
    <w:rPr>
      <w:rFonts w:ascii="Times New Roman" w:hAnsi="Times New Roman" w:eastAsia="仿宋_GB2312" w:cs="Times New Roman"/>
      <w:sz w:val="24"/>
    </w:rPr>
  </w:style>
  <w:style w:type="paragraph" w:styleId="15">
    <w:name w:val="index 4"/>
    <w:basedOn w:val="1"/>
    <w:next w:val="1"/>
    <w:qFormat/>
    <w:uiPriority w:val="0"/>
    <w:pPr>
      <w:ind w:left="600" w:leftChars="600"/>
    </w:pPr>
  </w:style>
  <w:style w:type="paragraph" w:styleId="16">
    <w:name w:val="Body Text Indent 2"/>
    <w:basedOn w:val="1"/>
    <w:qFormat/>
    <w:uiPriority w:val="99"/>
    <w:pPr>
      <w:ind w:left="2100" w:leftChars="1000"/>
    </w:pPr>
    <w:rPr>
      <w:rFonts w:ascii="宋体" w:hAnsi="宋体"/>
      <w:sz w:val="24"/>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52"/>
    <w:qFormat/>
    <w:uiPriority w:val="0"/>
    <w:pP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First Indent 2"/>
    <w:basedOn w:val="12"/>
    <w:next w:val="5"/>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cs="Times New Roman"/>
      <w:b/>
    </w:rPr>
  </w:style>
  <w:style w:type="character" w:styleId="26">
    <w:name w:val="FollowedHyperlink"/>
    <w:qFormat/>
    <w:uiPriority w:val="0"/>
    <w:rPr>
      <w:rFonts w:cs="Times New Roman"/>
      <w:color w:val="800080"/>
      <w:u w:val="none"/>
    </w:rPr>
  </w:style>
  <w:style w:type="character" w:styleId="27">
    <w:name w:val="Emphasis"/>
    <w:qFormat/>
    <w:uiPriority w:val="0"/>
    <w:rPr>
      <w:rFonts w:cs="Times New Roman"/>
      <w:b/>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qFormat/>
    <w:uiPriority w:val="0"/>
    <w:rPr>
      <w:rFonts w:cs="Times New Roman"/>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style4"/>
    <w:basedOn w:val="1"/>
    <w:next w:val="38"/>
    <w:qFormat/>
    <w:uiPriority w:val="0"/>
    <w:pPr>
      <w:spacing w:before="100" w:beforeAutospacing="1" w:after="100" w:afterAutospacing="1"/>
      <w:jc w:val="left"/>
    </w:pPr>
    <w:rPr>
      <w:rFonts w:cs="宋体"/>
      <w:kern w:val="0"/>
      <w:sz w:val="18"/>
      <w:szCs w:val="18"/>
    </w:rPr>
  </w:style>
  <w:style w:type="paragraph" w:customStyle="1" w:styleId="38">
    <w:name w:val="2"/>
    <w:basedOn w:val="1"/>
    <w:next w:val="1"/>
    <w:qFormat/>
    <w:uiPriority w:val="0"/>
    <w:pPr>
      <w:widowControl w:val="0"/>
      <w:spacing w:line="360" w:lineRule="auto"/>
    </w:pPr>
    <w:rPr>
      <w:rFonts w:ascii="Times New Roman" w:hAnsi="Times New Roman" w:eastAsia="仿宋_GB2312"/>
    </w:rPr>
  </w:style>
  <w:style w:type="paragraph" w:customStyle="1" w:styleId="39">
    <w:name w:val="文本块1"/>
    <w:qFormat/>
    <w:uiPriority w:val="0"/>
    <w:pPr>
      <w:widowControl w:val="0"/>
      <w:autoSpaceDE w:val="0"/>
      <w:autoSpaceDN w:val="0"/>
      <w:adjustRightInd w:val="0"/>
      <w:ind w:left="420" w:right="33"/>
    </w:pPr>
    <w:rPr>
      <w:rFonts w:ascii="宋体" w:hAnsi="宋体" w:eastAsia="宋体" w:cs="宋体"/>
      <w:sz w:val="24"/>
      <w:lang w:val="zh-CN" w:eastAsia="zh-CN" w:bidi="zh-CN"/>
    </w:rPr>
  </w:style>
  <w:style w:type="character" w:customStyle="1" w:styleId="40">
    <w:name w:val="标题 1 字符"/>
    <w:link w:val="4"/>
    <w:qFormat/>
    <w:uiPriority w:val="0"/>
    <w:rPr>
      <w:rFonts w:ascii="宋体" w:eastAsia="宋体" w:cs="黑体"/>
      <w:b/>
      <w:bCs/>
      <w:color w:val="000000"/>
      <w:kern w:val="44"/>
      <w:sz w:val="44"/>
      <w:szCs w:val="44"/>
    </w:rPr>
  </w:style>
  <w:style w:type="character" w:customStyle="1" w:styleId="41">
    <w:name w:val="标题 4 字符"/>
    <w:link w:val="9"/>
    <w:qFormat/>
    <w:uiPriority w:val="0"/>
    <w:rPr>
      <w:rFonts w:ascii="Cambria" w:hAnsi="Cambria" w:eastAsia="宋体" w:cs="Times New Roman"/>
      <w:b/>
      <w:bCs/>
      <w:color w:val="000000"/>
      <w:sz w:val="28"/>
      <w:szCs w:val="28"/>
    </w:rPr>
  </w:style>
  <w:style w:type="character" w:customStyle="1" w:styleId="42">
    <w:name w:val="正文首行缩进 Char"/>
    <w:link w:val="43"/>
    <w:qFormat/>
    <w:uiPriority w:val="0"/>
    <w:rPr>
      <w:rFonts w:ascii="宋体" w:eastAsia="宋体" w:cs="黑体"/>
      <w:color w:val="000000"/>
      <w:sz w:val="28"/>
      <w:szCs w:val="28"/>
    </w:rPr>
  </w:style>
  <w:style w:type="paragraph" w:customStyle="1" w:styleId="43">
    <w:name w:val="正文文本首行缩进1"/>
    <w:basedOn w:val="2"/>
    <w:next w:val="44"/>
    <w:link w:val="42"/>
    <w:qFormat/>
    <w:uiPriority w:val="0"/>
    <w:pPr>
      <w:ind w:firstLine="420"/>
    </w:pPr>
  </w:style>
  <w:style w:type="paragraph" w:customStyle="1" w:styleId="44">
    <w:name w:val="正文文本首行缩进 21"/>
    <w:basedOn w:val="45"/>
    <w:link w:val="51"/>
    <w:qFormat/>
    <w:uiPriority w:val="0"/>
    <w:pPr>
      <w:ind w:firstLine="420" w:firstLineChars="200"/>
    </w:pPr>
  </w:style>
  <w:style w:type="paragraph" w:customStyle="1" w:styleId="45">
    <w:name w:val="正文文本缩进1"/>
    <w:basedOn w:val="1"/>
    <w:link w:val="49"/>
    <w:qFormat/>
    <w:uiPriority w:val="0"/>
    <w:pPr>
      <w:spacing w:after="120"/>
      <w:ind w:left="420" w:leftChars="200"/>
    </w:pPr>
  </w:style>
  <w:style w:type="character" w:customStyle="1" w:styleId="46">
    <w:name w:val="正文文本 字符"/>
    <w:link w:val="2"/>
    <w:qFormat/>
    <w:uiPriority w:val="0"/>
    <w:rPr>
      <w:rFonts w:ascii="宋体" w:eastAsia="宋体" w:cs="黑体"/>
      <w:color w:val="000000"/>
      <w:sz w:val="28"/>
      <w:szCs w:val="28"/>
    </w:rPr>
  </w:style>
  <w:style w:type="paragraph" w:customStyle="1" w:styleId="47">
    <w:name w:val="正文文本 21"/>
    <w:basedOn w:val="1"/>
    <w:link w:val="53"/>
    <w:qFormat/>
    <w:uiPriority w:val="0"/>
    <w:pPr>
      <w:spacing w:after="120" w:line="480" w:lineRule="auto"/>
    </w:pPr>
  </w:style>
  <w:style w:type="character" w:customStyle="1" w:styleId="48">
    <w:name w:val="批注文字 字符"/>
    <w:link w:val="11"/>
    <w:qFormat/>
    <w:uiPriority w:val="0"/>
    <w:rPr>
      <w:rFonts w:ascii="宋体" w:eastAsia="宋体" w:cs="黑体"/>
      <w:color w:val="000000"/>
      <w:sz w:val="28"/>
      <w:szCs w:val="28"/>
    </w:rPr>
  </w:style>
  <w:style w:type="character" w:customStyle="1" w:styleId="49">
    <w:name w:val="正文文本缩进 Char"/>
    <w:link w:val="45"/>
    <w:qFormat/>
    <w:uiPriority w:val="0"/>
    <w:rPr>
      <w:rFonts w:ascii="宋体" w:eastAsia="宋体" w:cs="黑体"/>
      <w:color w:val="000000"/>
      <w:sz w:val="28"/>
      <w:szCs w:val="28"/>
    </w:rPr>
  </w:style>
  <w:style w:type="character" w:customStyle="1" w:styleId="50">
    <w:name w:val="页脚 字符"/>
    <w:link w:val="17"/>
    <w:qFormat/>
    <w:uiPriority w:val="0"/>
    <w:rPr>
      <w:rFonts w:ascii="宋体" w:eastAsia="宋体" w:cs="黑体"/>
      <w:color w:val="000000"/>
      <w:sz w:val="18"/>
      <w:szCs w:val="18"/>
    </w:rPr>
  </w:style>
  <w:style w:type="character" w:customStyle="1" w:styleId="51">
    <w:name w:val="正文首行缩进 2 Char"/>
    <w:link w:val="44"/>
    <w:qFormat/>
    <w:uiPriority w:val="0"/>
    <w:rPr>
      <w:rFonts w:ascii="宋体" w:eastAsia="宋体" w:cs="黑体"/>
      <w:color w:val="000000"/>
      <w:sz w:val="28"/>
      <w:szCs w:val="28"/>
    </w:rPr>
  </w:style>
  <w:style w:type="character" w:customStyle="1" w:styleId="52">
    <w:name w:val="页眉 字符"/>
    <w:link w:val="18"/>
    <w:qFormat/>
    <w:uiPriority w:val="0"/>
    <w:rPr>
      <w:rFonts w:ascii="宋体" w:eastAsia="宋体" w:cs="黑体"/>
      <w:color w:val="000000"/>
      <w:sz w:val="18"/>
      <w:szCs w:val="18"/>
    </w:rPr>
  </w:style>
  <w:style w:type="character" w:customStyle="1" w:styleId="53">
    <w:name w:val="正文文本 2 Char"/>
    <w:link w:val="47"/>
    <w:qFormat/>
    <w:uiPriority w:val="0"/>
    <w:rPr>
      <w:rFonts w:ascii="宋体" w:eastAsia="宋体" w:cs="黑体"/>
      <w:color w:val="000000"/>
      <w:sz w:val="28"/>
      <w:szCs w:val="28"/>
    </w:rPr>
  </w:style>
  <w:style w:type="paragraph" w:customStyle="1" w:styleId="54">
    <w:name w:val="正文缩进1"/>
    <w:basedOn w:val="1"/>
    <w:qFormat/>
    <w:uiPriority w:val="0"/>
    <w:pPr>
      <w:ind w:firstLine="420"/>
    </w:pPr>
    <w:rPr>
      <w:sz w:val="21"/>
    </w:rPr>
  </w:style>
  <w:style w:type="paragraph" w:customStyle="1" w:styleId="55">
    <w:name w:val="Body Text 21"/>
    <w:basedOn w:val="1"/>
    <w:qFormat/>
    <w:uiPriority w:val="0"/>
    <w:rPr>
      <w:rFonts w:ascii="仿宋_GB2312" w:hAnsi="Times New Roman" w:eastAsia="仿宋_GB2312"/>
      <w:color w:val="FF0000"/>
      <w:szCs w:val="24"/>
    </w:rPr>
  </w:style>
  <w:style w:type="paragraph" w:customStyle="1" w:styleId="56">
    <w:name w:val="UserStyle_0"/>
    <w:qFormat/>
    <w:uiPriority w:val="0"/>
    <w:pPr>
      <w:spacing w:after="200" w:line="276" w:lineRule="auto"/>
      <w:jc w:val="both"/>
      <w:textAlignment w:val="baseline"/>
    </w:pPr>
    <w:rPr>
      <w:rFonts w:ascii="Times New Roman" w:hAnsi="Times New Roman" w:eastAsia="宋体" w:cs="黑体"/>
      <w:kern w:val="2"/>
      <w:sz w:val="21"/>
      <w:szCs w:val="21"/>
      <w:lang w:val="en-US" w:eastAsia="zh-CN" w:bidi="ar-SA"/>
    </w:rPr>
  </w:style>
  <w:style w:type="paragraph" w:customStyle="1" w:styleId="57">
    <w:name w:val="Date1"/>
    <w:basedOn w:val="1"/>
    <w:next w:val="1"/>
    <w:qFormat/>
    <w:uiPriority w:val="0"/>
    <w:pPr>
      <w:ind w:left="100" w:leftChars="2500"/>
    </w:pPr>
    <w:rPr>
      <w:rFonts w:ascii="Times New Roman" w:hAnsi="Times New Roman"/>
      <w:sz w:val="21"/>
      <w:szCs w:val="24"/>
    </w:rPr>
  </w:style>
  <w:style w:type="paragraph" w:customStyle="1" w:styleId="58">
    <w:name w:val="Heading1"/>
    <w:basedOn w:val="1"/>
    <w:next w:val="1"/>
    <w:qFormat/>
    <w:uiPriority w:val="0"/>
    <w:pPr>
      <w:keepNext/>
      <w:keepLines/>
      <w:spacing w:before="340" w:after="330" w:line="576" w:lineRule="auto"/>
    </w:pPr>
    <w:rPr>
      <w:rFonts w:ascii="Times New Roman" w:hAnsi="Times New Roman" w:cs="Times New Roman"/>
      <w:b/>
      <w:bCs/>
      <w:kern w:val="44"/>
      <w:sz w:val="44"/>
      <w:szCs w:val="44"/>
    </w:rPr>
  </w:style>
  <w:style w:type="paragraph" w:customStyle="1" w:styleId="59">
    <w:name w:val="Heading2"/>
    <w:basedOn w:val="1"/>
    <w:next w:val="1"/>
    <w:qFormat/>
    <w:uiPriority w:val="0"/>
    <w:pPr>
      <w:keepNext/>
      <w:keepLines/>
      <w:spacing w:before="260" w:after="260" w:line="413" w:lineRule="auto"/>
    </w:pPr>
    <w:rPr>
      <w:rFonts w:ascii="Arial" w:hAnsi="Arial" w:eastAsia="黑体" w:cs="Times New Roman"/>
      <w:b/>
      <w:bCs/>
      <w:sz w:val="32"/>
      <w:szCs w:val="32"/>
    </w:rPr>
  </w:style>
  <w:style w:type="paragraph" w:customStyle="1" w:styleId="60">
    <w:name w:val="Heading3"/>
    <w:basedOn w:val="1"/>
    <w:next w:val="1"/>
    <w:qFormat/>
    <w:uiPriority w:val="0"/>
    <w:pPr>
      <w:keepNext/>
      <w:keepLines/>
      <w:spacing w:line="360" w:lineRule="auto"/>
    </w:pPr>
    <w:rPr>
      <w:rFonts w:cs="宋体"/>
      <w:b/>
      <w:bCs/>
      <w:sz w:val="24"/>
      <w:szCs w:val="32"/>
    </w:rPr>
  </w:style>
  <w:style w:type="paragraph" w:customStyle="1" w:styleId="61">
    <w:name w:val="Heading6"/>
    <w:basedOn w:val="1"/>
    <w:next w:val="1"/>
    <w:qFormat/>
    <w:uiPriority w:val="0"/>
    <w:pPr>
      <w:keepNext/>
      <w:keepLines/>
      <w:spacing w:before="240" w:after="64" w:line="317" w:lineRule="auto"/>
    </w:pPr>
    <w:rPr>
      <w:rFonts w:ascii="Arial" w:hAnsi="Arial" w:eastAsia="黑体" w:cs="宋体"/>
      <w:b/>
      <w:bCs/>
      <w:kern w:val="0"/>
      <w:sz w:val="24"/>
      <w:szCs w:val="20"/>
    </w:rPr>
  </w:style>
  <w:style w:type="paragraph" w:customStyle="1" w:styleId="62">
    <w:name w:val="BodyText2"/>
    <w:basedOn w:val="1"/>
    <w:qFormat/>
    <w:uiPriority w:val="0"/>
    <w:pPr>
      <w:spacing w:line="360" w:lineRule="auto"/>
    </w:pPr>
    <w:rPr>
      <w:rFonts w:ascii="Times New Roman" w:hAnsi="Times New Roman"/>
      <w:sz w:val="24"/>
      <w:szCs w:val="24"/>
    </w:rPr>
  </w:style>
  <w:style w:type="paragraph" w:customStyle="1" w:styleId="63">
    <w:name w:val="NormalIndent"/>
    <w:basedOn w:val="1"/>
    <w:qFormat/>
    <w:uiPriority w:val="0"/>
    <w:pPr>
      <w:ind w:firstLine="420"/>
    </w:pPr>
    <w:rPr>
      <w:szCs w:val="20"/>
    </w:rPr>
  </w:style>
  <w:style w:type="paragraph" w:customStyle="1" w:styleId="64">
    <w:name w:val="BodyText"/>
    <w:basedOn w:val="1"/>
    <w:next w:val="62"/>
    <w:qFormat/>
    <w:uiPriority w:val="0"/>
    <w:pPr>
      <w:spacing w:after="120"/>
    </w:pPr>
  </w:style>
  <w:style w:type="paragraph" w:customStyle="1" w:styleId="65">
    <w:name w:val="BodyText1I"/>
    <w:basedOn w:val="64"/>
    <w:next w:val="66"/>
    <w:qFormat/>
    <w:uiPriority w:val="0"/>
    <w:pPr>
      <w:ind w:firstLine="420" w:firstLineChars="100"/>
    </w:pPr>
    <w:rPr>
      <w:rFonts w:ascii="Times New Roman" w:hAnsi="Times New Roman"/>
      <w:sz w:val="21"/>
      <w:szCs w:val="24"/>
    </w:rPr>
  </w:style>
  <w:style w:type="paragraph" w:customStyle="1" w:styleId="66">
    <w:name w:val="BodyText1I2"/>
    <w:basedOn w:val="67"/>
    <w:qFormat/>
    <w:uiPriority w:val="0"/>
    <w:pPr>
      <w:ind w:firstLine="420" w:firstLineChars="200"/>
    </w:pPr>
    <w:rPr>
      <w:sz w:val="21"/>
      <w:szCs w:val="24"/>
    </w:rPr>
  </w:style>
  <w:style w:type="paragraph" w:customStyle="1" w:styleId="67">
    <w:name w:val="BodyTextIndent"/>
    <w:basedOn w:val="1"/>
    <w:qFormat/>
    <w:uiPriority w:val="0"/>
    <w:pPr>
      <w:spacing w:after="120"/>
      <w:ind w:left="200" w:leftChars="200"/>
    </w:pPr>
    <w:rPr>
      <w:rFonts w:eastAsia="仿宋_GB2312"/>
      <w:sz w:val="30"/>
      <w:szCs w:val="20"/>
    </w:rPr>
  </w:style>
  <w:style w:type="paragraph" w:customStyle="1" w:styleId="68">
    <w:name w:val="AnnotationText"/>
    <w:basedOn w:val="1"/>
    <w:qFormat/>
    <w:uiPriority w:val="0"/>
    <w:pPr>
      <w:spacing w:line="240" w:lineRule="auto"/>
      <w:jc w:val="left"/>
    </w:pPr>
    <w:rPr>
      <w:sz w:val="21"/>
      <w:szCs w:val="21"/>
    </w:rPr>
  </w:style>
  <w:style w:type="paragraph" w:customStyle="1" w:styleId="69">
    <w:name w:val="TOC1"/>
    <w:basedOn w:val="1"/>
    <w:next w:val="1"/>
    <w:qFormat/>
    <w:uiPriority w:val="0"/>
    <w:pPr>
      <w:spacing w:before="120" w:after="120"/>
      <w:jc w:val="left"/>
    </w:pPr>
    <w:rPr>
      <w:rFonts w:ascii="Calibri" w:hAnsi="Calibri" w:cs="Calibri"/>
      <w:b/>
      <w:bCs/>
      <w:caps/>
      <w:kern w:val="0"/>
      <w:sz w:val="20"/>
      <w:szCs w:val="20"/>
      <w:lang w:eastAsia="en-US"/>
    </w:rPr>
  </w:style>
  <w:style w:type="paragraph" w:customStyle="1" w:styleId="70">
    <w:name w:val="PlainText"/>
    <w:basedOn w:val="1"/>
    <w:qFormat/>
    <w:uiPriority w:val="0"/>
    <w:rPr>
      <w:rFonts w:hAnsi="Courier New"/>
      <w:sz w:val="24"/>
      <w:szCs w:val="20"/>
    </w:rPr>
  </w:style>
  <w:style w:type="paragraph" w:customStyle="1" w:styleId="71">
    <w:name w:val="UserStyle_1"/>
    <w:qFormat/>
    <w:uiPriority w:val="0"/>
    <w:pPr>
      <w:spacing w:after="200" w:line="276" w:lineRule="auto"/>
      <w:textAlignment w:val="baseline"/>
    </w:pPr>
    <w:rPr>
      <w:rFonts w:ascii="宋体" w:hAnsi="Calibri" w:eastAsia="宋体" w:cs="黑体"/>
      <w:color w:val="000000"/>
      <w:sz w:val="24"/>
      <w:szCs w:val="24"/>
      <w:lang w:val="en-US" w:eastAsia="zh-CN" w:bidi="ar-SA"/>
    </w:rPr>
  </w:style>
  <w:style w:type="paragraph" w:customStyle="1" w:styleId="72">
    <w:name w:val="UserStyle_2"/>
    <w:basedOn w:val="1"/>
    <w:next w:val="73"/>
    <w:qFormat/>
    <w:uiPriority w:val="0"/>
    <w:pPr>
      <w:spacing w:after="120" w:line="240" w:lineRule="auto"/>
    </w:pPr>
  </w:style>
  <w:style w:type="paragraph" w:customStyle="1" w:styleId="73">
    <w:name w:val="UserStyle_3"/>
    <w:basedOn w:val="1"/>
    <w:qFormat/>
    <w:uiPriority w:val="0"/>
    <w:pPr>
      <w:spacing w:after="120" w:line="480" w:lineRule="auto"/>
    </w:pPr>
  </w:style>
  <w:style w:type="paragraph" w:customStyle="1" w:styleId="74">
    <w:name w:val="UserStyle_4"/>
    <w:basedOn w:val="1"/>
    <w:qFormat/>
    <w:uiPriority w:val="0"/>
    <w:pPr>
      <w:spacing w:line="360" w:lineRule="auto"/>
      <w:ind w:firstLine="200" w:firstLineChars="200"/>
    </w:pPr>
    <w:rPr>
      <w:sz w:val="24"/>
    </w:rPr>
  </w:style>
  <w:style w:type="paragraph" w:customStyle="1" w:styleId="75">
    <w:name w:val="UserStyle_5"/>
    <w:basedOn w:val="1"/>
    <w:qFormat/>
    <w:uiPriority w:val="0"/>
  </w:style>
  <w:style w:type="paragraph" w:customStyle="1" w:styleId="76">
    <w:name w:val="179"/>
    <w:basedOn w:val="1"/>
    <w:qFormat/>
    <w:uiPriority w:val="0"/>
    <w:pPr>
      <w:ind w:firstLine="200" w:firstLineChars="200"/>
    </w:pPr>
    <w:rPr>
      <w:rFonts w:ascii="Calibri" w:hAnsi="Calibri"/>
      <w:szCs w:val="22"/>
    </w:rPr>
  </w:style>
  <w:style w:type="paragraph" w:customStyle="1" w:styleId="77">
    <w:name w:val="UserStyle_6"/>
    <w:qFormat/>
    <w:uiPriority w:val="0"/>
    <w:pPr>
      <w:spacing w:after="200" w:line="276" w:lineRule="auto"/>
      <w:jc w:val="both"/>
      <w:textAlignment w:val="baseline"/>
    </w:pPr>
    <w:rPr>
      <w:rFonts w:ascii="Times New Roman" w:hAnsi="Times New Roman" w:eastAsia="宋体" w:cs="黑体"/>
      <w:kern w:val="2"/>
      <w:sz w:val="21"/>
      <w:szCs w:val="24"/>
      <w:lang w:val="en-US" w:eastAsia="zh-CN" w:bidi="ar-SA"/>
    </w:rPr>
  </w:style>
  <w:style w:type="paragraph" w:customStyle="1" w:styleId="78">
    <w:name w:val="shsj2em"/>
    <w:basedOn w:val="1"/>
    <w:qFormat/>
    <w:uiPriority w:val="0"/>
    <w:pPr>
      <w:ind w:firstLine="420"/>
      <w:jc w:val="left"/>
    </w:pPr>
    <w:rPr>
      <w:kern w:val="0"/>
    </w:rPr>
  </w:style>
  <w:style w:type="paragraph" w:customStyle="1" w:styleId="79">
    <w:name w:val="列出段落2"/>
    <w:basedOn w:val="1"/>
    <w:qFormat/>
    <w:uiPriority w:val="0"/>
    <w:pPr>
      <w:widowControl w:val="0"/>
      <w:spacing w:after="0" w:line="240" w:lineRule="auto"/>
      <w:ind w:firstLine="420" w:firstLineChars="200"/>
      <w:textAlignment w:val="auto"/>
    </w:pPr>
    <w:rPr>
      <w:rFonts w:ascii="Times New Roman" w:hAnsi="Times New Roman" w:cs="Times New Roman"/>
      <w:color w:val="auto"/>
      <w:sz w:val="21"/>
      <w:szCs w:val="20"/>
    </w:rPr>
  </w:style>
  <w:style w:type="character" w:customStyle="1" w:styleId="80">
    <w:name w:val="HTML 定义1"/>
    <w:basedOn w:val="24"/>
    <w:qFormat/>
    <w:uiPriority w:val="0"/>
  </w:style>
  <w:style w:type="character" w:customStyle="1" w:styleId="81">
    <w:name w:val="HTML 打字机1"/>
    <w:qFormat/>
    <w:uiPriority w:val="0"/>
    <w:rPr>
      <w:rFonts w:hint="default" w:ascii="monospace" w:hAnsi="monospace" w:eastAsia="monospace" w:cs="monospace"/>
      <w:sz w:val="20"/>
    </w:rPr>
  </w:style>
  <w:style w:type="character" w:customStyle="1" w:styleId="82">
    <w:name w:val="HTML 缩写1"/>
    <w:basedOn w:val="24"/>
    <w:qFormat/>
    <w:uiPriority w:val="0"/>
  </w:style>
  <w:style w:type="character" w:customStyle="1" w:styleId="83">
    <w:name w:val="HTML 变量1"/>
    <w:basedOn w:val="24"/>
    <w:qFormat/>
    <w:uiPriority w:val="0"/>
  </w:style>
  <w:style w:type="character" w:customStyle="1" w:styleId="84">
    <w:name w:val="HTML 代码1"/>
    <w:qFormat/>
    <w:uiPriority w:val="0"/>
    <w:rPr>
      <w:rFonts w:hint="default" w:ascii="monospace" w:hAnsi="monospace" w:eastAsia="monospace" w:cs="monospace"/>
      <w:sz w:val="20"/>
    </w:rPr>
  </w:style>
  <w:style w:type="character" w:customStyle="1" w:styleId="85">
    <w:name w:val="HTML 引文1"/>
    <w:basedOn w:val="24"/>
    <w:qFormat/>
    <w:uiPriority w:val="0"/>
  </w:style>
  <w:style w:type="character" w:customStyle="1" w:styleId="86">
    <w:name w:val="HTML 键盘1"/>
    <w:qFormat/>
    <w:uiPriority w:val="0"/>
    <w:rPr>
      <w:rFonts w:ascii="monospace" w:hAnsi="monospace" w:eastAsia="monospace" w:cs="monospace"/>
      <w:sz w:val="20"/>
    </w:rPr>
  </w:style>
  <w:style w:type="character" w:customStyle="1" w:styleId="87">
    <w:name w:val="HTML 样本1"/>
    <w:qFormat/>
    <w:uiPriority w:val="0"/>
    <w:rPr>
      <w:rFonts w:hint="default" w:ascii="monospace" w:hAnsi="monospace" w:eastAsia="monospace" w:cs="monospace"/>
    </w:rPr>
  </w:style>
  <w:style w:type="character" w:customStyle="1" w:styleId="88">
    <w:name w:val="Comment Reference1"/>
    <w:qFormat/>
    <w:uiPriority w:val="0"/>
    <w:rPr>
      <w:rFonts w:cs="Times New Roman"/>
      <w:sz w:val="21"/>
      <w:szCs w:val="21"/>
    </w:rPr>
  </w:style>
  <w:style w:type="character" w:customStyle="1" w:styleId="89">
    <w:name w:val="HTML Definition1"/>
    <w:qFormat/>
    <w:uiPriority w:val="0"/>
    <w:rPr>
      <w:rFonts w:cs="Times New Roman"/>
    </w:rPr>
  </w:style>
  <w:style w:type="character" w:customStyle="1" w:styleId="90">
    <w:name w:val="HTML Typewriter1"/>
    <w:qFormat/>
    <w:uiPriority w:val="0"/>
    <w:rPr>
      <w:rFonts w:ascii="monospace" w:hAnsi="monospace" w:cs="monospace"/>
      <w:sz w:val="20"/>
    </w:rPr>
  </w:style>
  <w:style w:type="character" w:customStyle="1" w:styleId="91">
    <w:name w:val="HTML Acronym1"/>
    <w:qFormat/>
    <w:uiPriority w:val="0"/>
    <w:rPr>
      <w:rFonts w:cs="Times New Roman"/>
    </w:rPr>
  </w:style>
  <w:style w:type="character" w:customStyle="1" w:styleId="92">
    <w:name w:val="HTML Variable1"/>
    <w:qFormat/>
    <w:uiPriority w:val="0"/>
    <w:rPr>
      <w:rFonts w:cs="Times New Roman"/>
    </w:rPr>
  </w:style>
  <w:style w:type="character" w:customStyle="1" w:styleId="93">
    <w:name w:val="HTML Code1"/>
    <w:qFormat/>
    <w:uiPriority w:val="0"/>
    <w:rPr>
      <w:rFonts w:ascii="monospace" w:hAnsi="monospace" w:cs="monospace"/>
      <w:sz w:val="20"/>
    </w:rPr>
  </w:style>
  <w:style w:type="character" w:customStyle="1" w:styleId="94">
    <w:name w:val="HTML Cite1"/>
    <w:qFormat/>
    <w:uiPriority w:val="0"/>
    <w:rPr>
      <w:rFonts w:cs="Times New Roman"/>
    </w:rPr>
  </w:style>
  <w:style w:type="character" w:customStyle="1" w:styleId="95">
    <w:name w:val="HTML Keyboard1"/>
    <w:qFormat/>
    <w:uiPriority w:val="0"/>
    <w:rPr>
      <w:rFonts w:ascii="monospace" w:hAnsi="monospace" w:cs="monospace"/>
      <w:sz w:val="20"/>
    </w:rPr>
  </w:style>
  <w:style w:type="character" w:customStyle="1" w:styleId="96">
    <w:name w:val="HTML Sample1"/>
    <w:qFormat/>
    <w:uiPriority w:val="0"/>
    <w:rPr>
      <w:rFonts w:ascii="monospace" w:hAnsi="monospace" w:cs="monospace"/>
    </w:rPr>
  </w:style>
  <w:style w:type="character" w:customStyle="1" w:styleId="97">
    <w:name w:val="NormalCharacter"/>
    <w:qFormat/>
    <w:uiPriority w:val="0"/>
  </w:style>
  <w:style w:type="character" w:customStyle="1" w:styleId="98">
    <w:name w:val="PageNumber"/>
    <w:qFormat/>
    <w:uiPriority w:val="0"/>
    <w:rPr>
      <w:rFonts w:ascii="Times New Roman" w:hAnsi="Times New Roman" w:eastAsia="宋体"/>
    </w:rPr>
  </w:style>
  <w:style w:type="character" w:customStyle="1" w:styleId="99">
    <w:name w:val="hover15"/>
    <w:qFormat/>
    <w:uiPriority w:val="0"/>
    <w:rPr>
      <w:rFonts w:cs="Times New Roman"/>
    </w:rPr>
  </w:style>
  <w:style w:type="character" w:customStyle="1" w:styleId="100">
    <w:name w:val="hover17"/>
    <w:qFormat/>
    <w:uiPriority w:val="0"/>
    <w:rPr>
      <w:rFonts w:cs="Times New Roman"/>
    </w:rPr>
  </w:style>
  <w:style w:type="character" w:customStyle="1" w:styleId="101">
    <w:name w:val="hover16"/>
    <w:qFormat/>
    <w:uiPriority w:val="0"/>
    <w:rPr>
      <w:rFonts w:cs="Times New Roman"/>
    </w:rPr>
  </w:style>
  <w:style w:type="character" w:customStyle="1" w:styleId="102">
    <w:name w:val="font61"/>
    <w:qFormat/>
    <w:uiPriority w:val="0"/>
    <w:rPr>
      <w:rFonts w:ascii="Symbol" w:hAnsi="Symbol" w:cs="Symbol"/>
      <w:color w:val="000000"/>
      <w:sz w:val="18"/>
      <w:szCs w:val="18"/>
      <w:u w:val="none"/>
    </w:rPr>
  </w:style>
  <w:style w:type="character" w:customStyle="1" w:styleId="103">
    <w:name w:val="font11"/>
    <w:qFormat/>
    <w:uiPriority w:val="0"/>
    <w:rPr>
      <w:rFonts w:ascii="宋体" w:hAnsi="宋体" w:eastAsia="宋体" w:cs="宋体"/>
      <w:color w:val="000000"/>
      <w:sz w:val="18"/>
      <w:szCs w:val="18"/>
      <w:u w:val="none"/>
    </w:rPr>
  </w:style>
  <w:style w:type="character" w:customStyle="1" w:styleId="104">
    <w:name w:val="font31"/>
    <w:qFormat/>
    <w:uiPriority w:val="0"/>
    <w:rPr>
      <w:rFonts w:ascii="宋体" w:hAnsi="宋体" w:eastAsia="宋体" w:cs="宋体"/>
      <w:color w:val="FF0000"/>
      <w:sz w:val="20"/>
      <w:szCs w:val="20"/>
      <w:u w:val="none"/>
    </w:rPr>
  </w:style>
  <w:style w:type="character" w:customStyle="1" w:styleId="105">
    <w:name w:val="font101"/>
    <w:qFormat/>
    <w:uiPriority w:val="0"/>
    <w:rPr>
      <w:rFonts w:ascii="Arial" w:hAnsi="Arial" w:cs="Arial"/>
      <w:color w:val="000000"/>
      <w:sz w:val="24"/>
      <w:szCs w:val="24"/>
      <w:u w:val="none"/>
    </w:rPr>
  </w:style>
  <w:style w:type="paragraph" w:customStyle="1" w:styleId="106">
    <w:name w:val="正文1"/>
    <w:basedOn w:val="1"/>
    <w:qFormat/>
    <w:uiPriority w:val="0"/>
    <w:pPr>
      <w:jc w:val="left"/>
    </w:pPr>
  </w:style>
  <w:style w:type="paragraph" w:customStyle="1" w:styleId="107">
    <w:name w:val="Table Paragraph"/>
    <w:basedOn w:val="1"/>
    <w:qFormat/>
    <w:uiPriority w:val="1"/>
  </w:style>
  <w:style w:type="paragraph" w:styleId="108">
    <w:name w:val="List Paragraph"/>
    <w:basedOn w:val="1"/>
    <w:qFormat/>
    <w:uiPriority w:val="34"/>
    <w:pPr>
      <w:widowControl w:val="0"/>
      <w:ind w:firstLine="420" w:firstLineChars="200"/>
      <w:textAlignment w:val="auto"/>
    </w:pPr>
    <w:rPr>
      <w:rFonts w:ascii="Times New Roman" w:hAnsi="Times New Roman" w:cs="Times New Roman"/>
      <w:color w:val="auto"/>
      <w:szCs w:val="24"/>
    </w:rPr>
  </w:style>
  <w:style w:type="character" w:customStyle="1" w:styleId="109">
    <w:name w:val="first-child"/>
    <w:basedOn w:val="24"/>
    <w:qFormat/>
    <w:uiPriority w:val="0"/>
    <w:rPr>
      <w:color w:val="1F3149"/>
      <w:sz w:val="24"/>
      <w:szCs w:val="24"/>
    </w:rPr>
  </w:style>
  <w:style w:type="character" w:customStyle="1" w:styleId="110">
    <w:name w:val="first-child1"/>
    <w:basedOn w:val="24"/>
    <w:qFormat/>
    <w:uiPriority w:val="0"/>
    <w:rPr>
      <w:color w:val="1F3149"/>
      <w:sz w:val="24"/>
      <w:szCs w:val="24"/>
    </w:rPr>
  </w:style>
  <w:style w:type="character" w:customStyle="1" w:styleId="111">
    <w:name w:val="icon_ds"/>
    <w:basedOn w:val="24"/>
    <w:qFormat/>
    <w:uiPriority w:val="0"/>
    <w:rPr>
      <w:sz w:val="21"/>
      <w:szCs w:val="21"/>
    </w:rPr>
  </w:style>
  <w:style w:type="character" w:customStyle="1" w:styleId="112">
    <w:name w:val="icon_ds1"/>
    <w:basedOn w:val="24"/>
    <w:qFormat/>
    <w:uiPriority w:val="0"/>
  </w:style>
  <w:style w:type="character" w:customStyle="1" w:styleId="113">
    <w:name w:val="fr"/>
    <w:basedOn w:val="24"/>
    <w:qFormat/>
    <w:uiPriority w:val="0"/>
  </w:style>
  <w:style w:type="character" w:customStyle="1" w:styleId="114">
    <w:name w:val="xiadan"/>
    <w:basedOn w:val="24"/>
    <w:qFormat/>
    <w:uiPriority w:val="0"/>
    <w:rPr>
      <w:shd w:val="clear" w:fill="E4393C"/>
    </w:rPr>
  </w:style>
  <w:style w:type="character" w:customStyle="1" w:styleId="115">
    <w:name w:val="icon_gys"/>
    <w:basedOn w:val="24"/>
    <w:qFormat/>
    <w:uiPriority w:val="0"/>
    <w:rPr>
      <w:sz w:val="21"/>
      <w:szCs w:val="21"/>
    </w:rPr>
  </w:style>
  <w:style w:type="paragraph" w:customStyle="1" w:styleId="116">
    <w:name w:val="Default"/>
    <w:next w:val="1"/>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17">
    <w:name w:val="大标题"/>
    <w:basedOn w:val="1"/>
    <w:next w:val="21"/>
    <w:qFormat/>
    <w:uiPriority w:val="0"/>
    <w:pPr>
      <w:jc w:val="center"/>
    </w:pPr>
    <w:rPr>
      <w:rFonts w:ascii="Arial" w:hAnsi="Arial" w:eastAsia="宋体"/>
      <w:b/>
      <w:sz w:val="28"/>
      <w:szCs w:val="24"/>
    </w:rPr>
  </w:style>
  <w:style w:type="paragraph" w:customStyle="1" w:styleId="118">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19">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120">
    <w:name w:val="无间隔1"/>
    <w:basedOn w:val="1"/>
    <w:qFormat/>
    <w:uiPriority w:val="99"/>
    <w:pPr>
      <w:spacing w:line="400" w:lineRule="exact"/>
    </w:pPr>
    <w:rPr>
      <w:sz w:val="24"/>
    </w:rPr>
  </w:style>
  <w:style w:type="paragraph" w:customStyle="1" w:styleId="121">
    <w:name w:val="Heading #2|1"/>
    <w:basedOn w:val="1"/>
    <w:qFormat/>
    <w:uiPriority w:val="0"/>
    <w:pPr>
      <w:widowControl w:val="0"/>
      <w:shd w:val="clear" w:color="auto" w:fill="auto"/>
      <w:spacing w:after="110" w:line="276" w:lineRule="auto"/>
      <w:outlineLvl w:val="1"/>
    </w:pPr>
    <w:rPr>
      <w:rFonts w:ascii="宋体" w:hAnsi="宋体" w:eastAsia="宋体" w:cs="宋体"/>
      <w:sz w:val="22"/>
      <w:szCs w:val="22"/>
      <w:u w:val="none"/>
      <w:shd w:val="clear" w:color="auto" w:fill="auto"/>
      <w:lang w:val="zh-TW" w:eastAsia="zh-TW" w:bidi="zh-TW"/>
    </w:rPr>
  </w:style>
  <w:style w:type="paragraph" w:customStyle="1" w:styleId="122">
    <w:name w:val="Other|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71</Pages>
  <Words>32738</Words>
  <Characters>34694</Characters>
  <Paragraphs>1136</Paragraphs>
  <TotalTime>128</TotalTime>
  <ScaleCrop>false</ScaleCrop>
  <LinksUpToDate>false</LinksUpToDate>
  <CharactersWithSpaces>36089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2020-05-22T22:35:00Z</dcterms:created>
  <dc:creator>lcq</dc:creator>
  <cp:lastModifiedBy>admin</cp:lastModifiedBy>
  <dcterms:modified xsi:type="dcterms:W3CDTF">2024-10-15T09:37:51Z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DB4D19B06B354E7097D37FEAEE06538A_13</vt:lpwstr>
  </property>
</Properties>
</file>